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80133">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广东省地方标准《</w:t>
      </w:r>
      <w:r>
        <w:rPr>
          <w:rFonts w:hint="eastAsia" w:ascii="方正小标宋简体" w:hAnsi="方正小标宋简体" w:eastAsia="方正小标宋简体" w:cs="方正小标宋简体"/>
          <w:sz w:val="36"/>
          <w:szCs w:val="36"/>
          <w:lang w:val="en-US" w:eastAsia="zh-CN"/>
        </w:rPr>
        <w:t>木荷大径材培育技术规程</w:t>
      </w:r>
      <w:r>
        <w:rPr>
          <w:rFonts w:hint="eastAsia" w:ascii="方正小标宋简体" w:hAnsi="方正小标宋简体" w:eastAsia="方正小标宋简体" w:cs="方正小标宋简体"/>
          <w:sz w:val="36"/>
          <w:szCs w:val="36"/>
        </w:rPr>
        <w:t>》</w:t>
      </w:r>
    </w:p>
    <w:p w14:paraId="0266E0A1">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编制说明</w:t>
      </w:r>
    </w:p>
    <w:p w14:paraId="7DE7A333">
      <w:pPr>
        <w:numPr>
          <w:ilvl w:val="0"/>
          <w:numId w:val="0"/>
        </w:numPr>
        <w:adjustRightInd w:val="0"/>
        <w:snapToGrid w:val="0"/>
        <w:spacing w:line="360" w:lineRule="auto"/>
        <w:jc w:val="both"/>
        <w:rPr>
          <w:rFonts w:hint="eastAsia" w:eastAsia="黑体"/>
          <w:b/>
          <w:sz w:val="28"/>
          <w:szCs w:val="28"/>
          <w:lang w:val="en-US" w:eastAsia="zh-CN"/>
        </w:rPr>
      </w:pPr>
    </w:p>
    <w:p w14:paraId="09AFF8E6">
      <w:pPr>
        <w:numPr>
          <w:ilvl w:val="0"/>
          <w:numId w:val="0"/>
        </w:numPr>
        <w:adjustRightInd w:val="0"/>
        <w:snapToGrid w:val="0"/>
        <w:spacing w:line="360" w:lineRule="auto"/>
        <w:jc w:val="both"/>
        <w:rPr>
          <w:rFonts w:hint="eastAsia" w:eastAsia="黑体"/>
          <w:b w:val="0"/>
          <w:bCs/>
          <w:sz w:val="30"/>
          <w:szCs w:val="30"/>
        </w:rPr>
      </w:pPr>
      <w:r>
        <w:rPr>
          <w:rFonts w:hint="eastAsia" w:eastAsia="黑体"/>
          <w:b w:val="0"/>
          <w:bCs/>
          <w:sz w:val="30"/>
          <w:szCs w:val="30"/>
          <w:lang w:val="en-US" w:eastAsia="zh-CN"/>
        </w:rPr>
        <w:t>一、</w:t>
      </w:r>
      <w:r>
        <w:rPr>
          <w:rFonts w:hint="eastAsia" w:eastAsia="黑体"/>
          <w:b w:val="0"/>
          <w:bCs/>
          <w:sz w:val="30"/>
          <w:szCs w:val="30"/>
        </w:rPr>
        <w:t>工作简况。</w:t>
      </w:r>
      <w:r>
        <w:rPr>
          <w:rFonts w:hint="eastAsia" w:ascii="仿宋" w:hAnsi="仿宋" w:eastAsia="仿宋" w:cs="仿宋"/>
          <w:b w:val="0"/>
          <w:bCs/>
          <w:sz w:val="30"/>
          <w:szCs w:val="30"/>
        </w:rPr>
        <w:t>包括任务来源(立项文件)，协作单位、分工等。</w:t>
      </w:r>
    </w:p>
    <w:p w14:paraId="17E634B4">
      <w:pPr>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为</w:t>
      </w:r>
      <w:r>
        <w:rPr>
          <w:rFonts w:hint="default" w:ascii="Times New Roman" w:hAnsi="Times New Roman" w:eastAsia="仿宋_GB2312" w:cs="Times New Roman"/>
          <w:sz w:val="30"/>
          <w:szCs w:val="30"/>
          <w:lang w:val="en-US" w:eastAsia="zh-CN"/>
        </w:rPr>
        <w:t>进一步</w:t>
      </w:r>
      <w:r>
        <w:rPr>
          <w:rFonts w:hint="default" w:ascii="Times New Roman" w:hAnsi="Times New Roman" w:eastAsia="仿宋_GB2312" w:cs="Times New Roman"/>
          <w:sz w:val="30"/>
          <w:szCs w:val="30"/>
        </w:rPr>
        <w:t>规范</w:t>
      </w:r>
      <w:r>
        <w:rPr>
          <w:rFonts w:hint="default" w:ascii="Times New Roman" w:hAnsi="Times New Roman" w:eastAsia="仿宋_GB2312" w:cs="Times New Roman"/>
          <w:sz w:val="30"/>
          <w:szCs w:val="30"/>
          <w:lang w:val="en-US" w:eastAsia="zh-CN"/>
        </w:rPr>
        <w:t>木荷大径材培育相关技术要求，切实提升林业生产力，扩大我国大径级原木供给，缓解进口依赖</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lang w:val="en-US" w:eastAsia="zh-CN"/>
        </w:rPr>
        <w:t>广东省林业科学研究院于</w:t>
      </w:r>
      <w:r>
        <w:rPr>
          <w:rFonts w:hint="default" w:ascii="Times New Roman" w:hAnsi="Times New Roman" w:eastAsia="仿宋_GB2312" w:cs="Times New Roman"/>
          <w:sz w:val="30"/>
          <w:szCs w:val="30"/>
        </w:rPr>
        <w:t>202</w:t>
      </w:r>
      <w:r>
        <w:rPr>
          <w:rFonts w:hint="default" w:ascii="Times New Roman" w:hAnsi="Times New Roman" w:eastAsia="仿宋_GB2312" w:cs="Times New Roman"/>
          <w:sz w:val="30"/>
          <w:szCs w:val="30"/>
          <w:lang w:val="en-US" w:eastAsia="zh-CN"/>
        </w:rPr>
        <w:t>5</w:t>
      </w:r>
      <w:r>
        <w:rPr>
          <w:rFonts w:hint="default" w:ascii="Times New Roman" w:hAnsi="Times New Roman" w:eastAsia="仿宋_GB2312" w:cs="Times New Roman"/>
          <w:sz w:val="30"/>
          <w:szCs w:val="30"/>
        </w:rPr>
        <w:t>年</w:t>
      </w:r>
      <w:r>
        <w:rPr>
          <w:rFonts w:hint="default" w:ascii="Times New Roman" w:hAnsi="Times New Roman" w:eastAsia="仿宋_GB2312" w:cs="Times New Roman"/>
          <w:sz w:val="30"/>
          <w:szCs w:val="30"/>
          <w:lang w:val="en-US" w:eastAsia="zh-CN"/>
        </w:rPr>
        <w:t>4</w:t>
      </w:r>
      <w:r>
        <w:rPr>
          <w:rFonts w:hint="default" w:ascii="Times New Roman" w:hAnsi="Times New Roman" w:eastAsia="仿宋_GB2312" w:cs="Times New Roman"/>
          <w:sz w:val="30"/>
          <w:szCs w:val="30"/>
        </w:rPr>
        <w:t>月经广东省林业局向广东省市场监督管理局提交制定推荐性地方标准《</w:t>
      </w:r>
      <w:r>
        <w:rPr>
          <w:rFonts w:hint="default" w:ascii="Times New Roman" w:hAnsi="Times New Roman" w:eastAsia="仿宋_GB2312" w:cs="Times New Roman"/>
          <w:sz w:val="30"/>
          <w:szCs w:val="30"/>
          <w:lang w:val="en-US" w:eastAsia="zh-CN"/>
        </w:rPr>
        <w:t>木荷大径材培育技术规程</w:t>
      </w:r>
      <w:r>
        <w:rPr>
          <w:rFonts w:hint="default" w:ascii="Times New Roman" w:hAnsi="Times New Roman" w:eastAsia="仿宋_GB2312" w:cs="Times New Roman"/>
          <w:sz w:val="30"/>
          <w:szCs w:val="30"/>
        </w:rPr>
        <w:t>》的申请。《广东省市场监督管理局关于批准下达2025年广东省地方标准制修订计划（第二批）的通知》（粤市监标准〔202</w:t>
      </w:r>
      <w:r>
        <w:rPr>
          <w:rFonts w:hint="default" w:ascii="Times New Roman" w:hAnsi="Times New Roman" w:eastAsia="仿宋_GB2312" w:cs="Times New Roman"/>
          <w:sz w:val="30"/>
          <w:szCs w:val="30"/>
          <w:lang w:val="en-US" w:eastAsia="zh-CN"/>
        </w:rPr>
        <w:t>5</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lang w:val="en-US" w:eastAsia="zh-CN"/>
        </w:rPr>
        <w:t>391</w:t>
      </w:r>
      <w:r>
        <w:rPr>
          <w:rFonts w:hint="default" w:ascii="Times New Roman" w:hAnsi="Times New Roman" w:eastAsia="仿宋_GB2312" w:cs="Times New Roman"/>
          <w:sz w:val="30"/>
          <w:szCs w:val="30"/>
        </w:rPr>
        <w:t>号）将其列入广东省地方标准制修订计划中。根据文件，标准编制项目由广东省林业局提出并归口，该项目由</w:t>
      </w:r>
      <w:r>
        <w:rPr>
          <w:rFonts w:hint="default" w:ascii="Times New Roman" w:hAnsi="Times New Roman" w:eastAsia="仿宋_GB2312" w:cs="Times New Roman"/>
          <w:sz w:val="30"/>
          <w:szCs w:val="30"/>
          <w:lang w:val="en-US" w:eastAsia="zh-CN"/>
        </w:rPr>
        <w:t>广东省林业科学研究院</w:t>
      </w:r>
      <w:r>
        <w:rPr>
          <w:rFonts w:hint="default" w:ascii="Times New Roman" w:hAnsi="Times New Roman" w:eastAsia="仿宋_GB2312" w:cs="Times New Roman"/>
          <w:sz w:val="30"/>
          <w:szCs w:val="30"/>
        </w:rPr>
        <w:t>承担，负责标准的总体策划、组织协调、草案编制及意见汇总等工作。</w:t>
      </w:r>
    </w:p>
    <w:p w14:paraId="5976DFF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方正仿宋_GBK" w:cs="Times New Roman"/>
          <w:b w:val="0"/>
          <w:bCs/>
          <w:sz w:val="30"/>
          <w:szCs w:val="30"/>
          <w:lang w:val="en-US" w:eastAsia="zh-CN"/>
        </w:rPr>
      </w:pPr>
      <w:r>
        <w:rPr>
          <w:rFonts w:hint="eastAsia" w:ascii="仿宋_GB2312" w:hAnsi="宋体" w:eastAsia="仿宋_GB2312" w:cs="宋体"/>
          <w:b w:val="0"/>
          <w:bCs/>
          <w:kern w:val="0"/>
          <w:sz w:val="30"/>
          <w:szCs w:val="30"/>
          <w:lang w:val="en-US" w:eastAsia="zh-CN" w:bidi="ar-SA"/>
        </w:rPr>
        <w:t>项目参与单位主要由广东省林业科学研究院、华南农业大学、英德市林业科学研究所、信宜市林业科学研究所、梅州市农林科学院林业研究所等单位组成标准编制小组，并进行了职责明确和任务分工：广东省林业科学研究院负责项目的申报、标准的编写工作、负责项目的审核、规范化和专家评审的组织工作，华南农业大学、英德市林业科学研究所、信宜市林业科学研究所、梅州市农林科学院林业研究所主要负责标准在行业中的征求意见和修改工作。</w:t>
      </w:r>
    </w:p>
    <w:p w14:paraId="0BF9724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方正仿宋_GBK" w:cs="Times New Roman"/>
          <w:b w:val="0"/>
          <w:bCs/>
          <w:sz w:val="30"/>
          <w:szCs w:val="30"/>
          <w:lang w:val="en-US" w:eastAsia="zh-CN"/>
        </w:rPr>
      </w:pPr>
    </w:p>
    <w:p w14:paraId="6080ACE1">
      <w:pPr>
        <w:numPr>
          <w:ilvl w:val="0"/>
          <w:numId w:val="0"/>
        </w:numPr>
        <w:adjustRightInd w:val="0"/>
        <w:snapToGrid w:val="0"/>
        <w:spacing w:line="360" w:lineRule="auto"/>
        <w:ind w:leftChars="0"/>
        <w:jc w:val="both"/>
        <w:rPr>
          <w:rFonts w:hint="eastAsia" w:eastAsia="黑体"/>
          <w:b w:val="0"/>
          <w:bCs/>
          <w:sz w:val="30"/>
          <w:szCs w:val="30"/>
        </w:rPr>
      </w:pPr>
      <w:r>
        <w:rPr>
          <w:rFonts w:hint="eastAsia" w:eastAsia="黑体"/>
          <w:b w:val="0"/>
          <w:bCs/>
          <w:sz w:val="30"/>
          <w:szCs w:val="30"/>
          <w:lang w:val="en-US" w:eastAsia="zh-CN"/>
        </w:rPr>
        <w:t>二、</w:t>
      </w:r>
      <w:r>
        <w:rPr>
          <w:rFonts w:hint="eastAsia" w:eastAsia="黑体"/>
          <w:b w:val="0"/>
          <w:bCs/>
          <w:sz w:val="30"/>
          <w:szCs w:val="30"/>
        </w:rPr>
        <w:t>立项的必要性，包括行业发展现状，痛点，拟解决的问题。</w:t>
      </w:r>
    </w:p>
    <w:p w14:paraId="047E9C9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rPr>
      </w:pPr>
      <w:r>
        <w:rPr>
          <w:rFonts w:hint="default" w:ascii="Times New Roman" w:hAnsi="Times New Roman" w:eastAsia="仿宋_GB2312" w:cs="Times New Roman"/>
          <w:b w:val="0"/>
          <w:bCs/>
          <w:sz w:val="30"/>
          <w:szCs w:val="30"/>
        </w:rPr>
        <w:t>随着我国经济的快速发展和人民生活品质的提升，木材的需求日益增长。目前我国木材消费占了全球木材消费的19%，占整个亚洲市场消费的73.1%，国家林业局统计数据显示，2019年我国木材进口量超1亿立方米，价值 229.83亿美元，其中阔叶材进口逐年增加，年均增长高达6.45%。随着木材主要生产国逐渐限制木材出口，我国的木材战略安全面临着较为严峻的形势，急需提升国内优质木材生产能力以填补木材产业的需求缺口，如何加快大径级优良乡土阔叶材的资源培育是我国高品质林木生产面临的巨大挑战。</w:t>
      </w:r>
    </w:p>
    <w:p w14:paraId="033668D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rPr>
      </w:pPr>
      <w:r>
        <w:rPr>
          <w:rFonts w:hint="default" w:ascii="Times New Roman" w:hAnsi="Times New Roman" w:eastAsia="仿宋_GB2312" w:cs="Times New Roman"/>
          <w:b w:val="0"/>
          <w:bCs/>
          <w:sz w:val="30"/>
          <w:szCs w:val="30"/>
        </w:rPr>
        <w:t>木荷（</w:t>
      </w:r>
      <w:r>
        <w:rPr>
          <w:rFonts w:hint="default" w:ascii="Times New Roman" w:hAnsi="Times New Roman" w:eastAsia="仿宋_GB2312" w:cs="Times New Roman"/>
          <w:b w:val="0"/>
          <w:bCs/>
          <w:i/>
          <w:iCs/>
          <w:sz w:val="30"/>
          <w:szCs w:val="30"/>
        </w:rPr>
        <w:t>Schima superba</w:t>
      </w:r>
      <w:r>
        <w:rPr>
          <w:rFonts w:hint="default" w:ascii="Times New Roman" w:hAnsi="Times New Roman" w:eastAsia="仿宋_GB2312" w:cs="Times New Roman"/>
          <w:b w:val="0"/>
          <w:bCs/>
          <w:sz w:val="30"/>
          <w:szCs w:val="30"/>
        </w:rPr>
        <w:t xml:space="preserve"> Gardn. et Champ.）别名荷树、荷木，属山茶科（</w:t>
      </w:r>
      <w:r>
        <w:rPr>
          <w:rFonts w:hint="default" w:ascii="Times New Roman" w:hAnsi="Times New Roman" w:eastAsia="仿宋_GB2312" w:cs="Times New Roman"/>
          <w:b w:val="0"/>
          <w:bCs/>
          <w:i/>
          <w:iCs/>
          <w:sz w:val="30"/>
          <w:szCs w:val="30"/>
        </w:rPr>
        <w:t>Theaceae</w:t>
      </w:r>
      <w:r>
        <w:rPr>
          <w:rFonts w:hint="default" w:ascii="Times New Roman" w:hAnsi="Times New Roman" w:eastAsia="仿宋_GB2312" w:cs="Times New Roman"/>
          <w:b w:val="0"/>
          <w:bCs/>
          <w:sz w:val="30"/>
          <w:szCs w:val="30"/>
        </w:rPr>
        <w:t>）木荷属，是亚热带常绿阔叶林中常见的常绿阔叶大乔木。以木荷为优势种的常绿阔叶林群落在我国中亚热带地区广泛分布，也是我国中亚热带东部地区分布最为广泛的常绿阔叶林类型之一</w:t>
      </w:r>
      <w:r>
        <w:rPr>
          <w:rFonts w:hint="default" w:ascii="Times New Roman" w:hAnsi="Times New Roman" w:eastAsia="仿宋_GB2312" w:cs="Times New Roman"/>
          <w:b w:val="0"/>
          <w:bCs/>
          <w:sz w:val="30"/>
          <w:szCs w:val="30"/>
          <w:lang w:eastAsia="zh-CN"/>
        </w:rPr>
        <w:t>。木材结构均匀致密，力学性状优良，易加工，是制作木地板、家具和工艺品等优质工艺用材树种</w:t>
      </w:r>
      <w:r>
        <w:rPr>
          <w:rFonts w:hint="default" w:ascii="Times New Roman" w:hAnsi="Times New Roman" w:eastAsia="仿宋_GB2312" w:cs="Times New Roman"/>
          <w:b w:val="0"/>
          <w:bCs/>
          <w:sz w:val="30"/>
          <w:szCs w:val="30"/>
          <w:lang w:val="en-US" w:eastAsia="zh-CN"/>
        </w:rPr>
        <w:t>，适合作为华南片区大径材培育树种，2013年发布的《大径级用材林培育导则》林业行业标准中将明确木荷可作为大径材培育树种，2022年广东省推动绿美广东生态建设，实施森林质量精准提升行动，将木荷作为重要乡土树种主栽推荐树种。</w:t>
      </w:r>
    </w:p>
    <w:p w14:paraId="4FC230EB">
      <w:pPr>
        <w:numPr>
          <w:ilvl w:val="0"/>
          <w:numId w:val="0"/>
        </w:numPr>
        <w:adjustRightInd w:val="0"/>
        <w:snapToGrid w:val="0"/>
        <w:spacing w:line="360" w:lineRule="auto"/>
        <w:ind w:leftChars="0"/>
        <w:jc w:val="both"/>
        <w:rPr>
          <w:rFonts w:hint="eastAsia" w:eastAsia="黑体"/>
          <w:b w:val="0"/>
          <w:bCs/>
          <w:sz w:val="30"/>
          <w:szCs w:val="30"/>
        </w:rPr>
      </w:pPr>
    </w:p>
    <w:p w14:paraId="525058A9">
      <w:pPr>
        <w:adjustRightInd w:val="0"/>
        <w:snapToGrid w:val="0"/>
        <w:spacing w:line="360" w:lineRule="auto"/>
        <w:jc w:val="both"/>
        <w:rPr>
          <w:rFonts w:hint="eastAsia" w:ascii="仿宋_GB2312" w:hAnsi="仿宋_GB2312" w:eastAsia="仿宋_GB2312" w:cs="仿宋_GB2312"/>
          <w:b w:val="0"/>
          <w:bCs/>
          <w:sz w:val="30"/>
          <w:szCs w:val="30"/>
        </w:rPr>
      </w:pPr>
      <w:r>
        <w:rPr>
          <w:rFonts w:hint="eastAsia" w:eastAsia="黑体"/>
          <w:b w:val="0"/>
          <w:bCs/>
          <w:sz w:val="30"/>
          <w:szCs w:val="30"/>
        </w:rPr>
        <w:t>三、标准编制原则，标准框架、主要内容及其确定依据。</w:t>
      </w:r>
      <w:r>
        <w:rPr>
          <w:rFonts w:hint="eastAsia" w:ascii="仿宋" w:hAnsi="仿宋" w:eastAsia="仿宋" w:cs="仿宋"/>
          <w:b w:val="0"/>
          <w:bCs/>
          <w:sz w:val="30"/>
          <w:szCs w:val="30"/>
        </w:rPr>
        <w:t>修订标准时，还包括修订前后技术内容的对比。</w:t>
      </w:r>
    </w:p>
    <w:p w14:paraId="3901762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楷体_GB2312" w:hAnsi="楷体_GB2312" w:eastAsia="楷体_GB2312" w:cs="楷体_GB2312"/>
          <w:b w:val="0"/>
          <w:bCs/>
          <w:sz w:val="30"/>
          <w:szCs w:val="30"/>
          <w:lang w:val="en-US" w:eastAsia="zh-CN"/>
        </w:rPr>
      </w:pPr>
      <w:r>
        <w:rPr>
          <w:rFonts w:hint="eastAsia" w:ascii="楷体_GB2312" w:hAnsi="楷体_GB2312" w:eastAsia="楷体_GB2312" w:cs="楷体_GB2312"/>
          <w:b w:val="0"/>
          <w:bCs/>
          <w:sz w:val="30"/>
          <w:szCs w:val="30"/>
          <w:lang w:val="en-US" w:eastAsia="zh-CN"/>
        </w:rPr>
        <w:t>（一）编制原则</w:t>
      </w:r>
    </w:p>
    <w:p w14:paraId="64FAE94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202</w:t>
      </w:r>
      <w:r>
        <w:rPr>
          <w:rFonts w:hint="eastAsia" w:ascii="Times New Roman" w:hAnsi="Times New Roman" w:eastAsia="仿宋_GB2312" w:cs="Times New Roman"/>
          <w:b w:val="0"/>
          <w:bCs/>
          <w:sz w:val="30"/>
          <w:szCs w:val="30"/>
          <w:lang w:val="en-US" w:eastAsia="zh-CN"/>
        </w:rPr>
        <w:t>5</w:t>
      </w:r>
      <w:r>
        <w:rPr>
          <w:rFonts w:hint="default" w:ascii="Times New Roman" w:hAnsi="Times New Roman" w:eastAsia="仿宋_GB2312" w:cs="Times New Roman"/>
          <w:b w:val="0"/>
          <w:bCs/>
          <w:sz w:val="30"/>
          <w:szCs w:val="30"/>
          <w:lang w:val="en-US" w:eastAsia="zh-CN"/>
        </w:rPr>
        <w:t>年</w:t>
      </w:r>
      <w:r>
        <w:rPr>
          <w:rFonts w:hint="eastAsia" w:ascii="Times New Roman" w:hAnsi="Times New Roman" w:eastAsia="仿宋_GB2312" w:cs="Times New Roman"/>
          <w:b w:val="0"/>
          <w:bCs/>
          <w:sz w:val="30"/>
          <w:szCs w:val="30"/>
          <w:lang w:val="en-US" w:eastAsia="zh-CN"/>
        </w:rPr>
        <w:t>10</w:t>
      </w:r>
      <w:r>
        <w:rPr>
          <w:rFonts w:hint="default" w:ascii="Times New Roman" w:hAnsi="Times New Roman" w:eastAsia="仿宋_GB2312" w:cs="Times New Roman"/>
          <w:b w:val="0"/>
          <w:bCs/>
          <w:sz w:val="30"/>
          <w:szCs w:val="30"/>
          <w:lang w:val="en-US" w:eastAsia="zh-CN"/>
        </w:rPr>
        <w:t>月</w:t>
      </w:r>
      <w:r>
        <w:rPr>
          <w:rFonts w:hint="default" w:ascii="Times New Roman" w:hAnsi="Times New Roman" w:eastAsia="仿宋_GB2312" w:cs="Times New Roman"/>
          <w:sz w:val="30"/>
          <w:szCs w:val="30"/>
        </w:rPr>
        <w:t>广东省市场监督管理局</w:t>
      </w:r>
      <w:r>
        <w:rPr>
          <w:rFonts w:hint="default" w:ascii="Times New Roman" w:hAnsi="Times New Roman" w:eastAsia="仿宋_GB2312" w:cs="Times New Roman"/>
          <w:b w:val="0"/>
          <w:bCs/>
          <w:sz w:val="30"/>
          <w:szCs w:val="30"/>
          <w:lang w:val="en-US" w:eastAsia="zh-CN"/>
        </w:rPr>
        <w:t>下达</w:t>
      </w:r>
      <w:r>
        <w:rPr>
          <w:rFonts w:hint="eastAsia" w:ascii="Times New Roman" w:hAnsi="Times New Roman" w:eastAsia="仿宋_GB2312" w:cs="Times New Roman"/>
          <w:b w:val="0"/>
          <w:bCs/>
          <w:sz w:val="30"/>
          <w:szCs w:val="30"/>
          <w:lang w:val="en-US" w:eastAsia="zh-CN"/>
        </w:rPr>
        <w:t>广东省地方</w:t>
      </w:r>
      <w:r>
        <w:rPr>
          <w:rFonts w:hint="default" w:ascii="Times New Roman" w:hAnsi="Times New Roman" w:eastAsia="仿宋_GB2312" w:cs="Times New Roman"/>
          <w:b w:val="0"/>
          <w:bCs/>
          <w:sz w:val="30"/>
          <w:szCs w:val="30"/>
          <w:lang w:val="en-US" w:eastAsia="zh-CN"/>
        </w:rPr>
        <w:t>标准《木荷大径材培育技术规程》制定任务。任务下达后，省林科院项目组组织成立了标准编制小组，编制小组主要起草人认真学习了标准制定有关文件资料并就标准编写的主要内容进行了深入、细致的讨论，广泛查阅相关文献资料，进行实地调查、走访林场了解实际生产中存在的问题及有关情况，广泛收集材料，为标准编写</w:t>
      </w:r>
      <w:r>
        <w:rPr>
          <w:rFonts w:hint="eastAsia" w:ascii="Times New Roman" w:hAnsi="Times New Roman" w:eastAsia="仿宋_GB2312" w:cs="Times New Roman"/>
          <w:b w:val="0"/>
          <w:bCs/>
          <w:sz w:val="30"/>
          <w:szCs w:val="30"/>
          <w:lang w:val="en-US" w:eastAsia="zh-CN"/>
        </w:rPr>
        <w:t>做</w:t>
      </w:r>
      <w:r>
        <w:rPr>
          <w:rFonts w:hint="default" w:ascii="Times New Roman" w:hAnsi="Times New Roman" w:eastAsia="仿宋_GB2312" w:cs="Times New Roman"/>
          <w:b w:val="0"/>
          <w:bCs/>
          <w:sz w:val="30"/>
          <w:szCs w:val="30"/>
          <w:lang w:val="en-US" w:eastAsia="zh-CN"/>
        </w:rPr>
        <w:t>准备。</w:t>
      </w:r>
    </w:p>
    <w:p w14:paraId="5A0924A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编制小组以调查情况、收集的数据为依据，汇总近年来林场、科研院所在木荷大径材培育方面的研究成果及技术参数，结合广东省林业科技创新项目</w:t>
      </w:r>
      <w:r>
        <w:rPr>
          <w:rFonts w:hint="eastAsia" w:eastAsia="仿宋_GB2312" w:cs="Times New Roman"/>
          <w:b w:val="0"/>
          <w:bCs/>
          <w:sz w:val="30"/>
          <w:szCs w:val="30"/>
          <w:lang w:val="en-US" w:eastAsia="zh-CN"/>
        </w:rPr>
        <w:t>“木荷大径材良种多倍体创制研究”、</w:t>
      </w:r>
      <w:r>
        <w:rPr>
          <w:rFonts w:hint="default" w:ascii="Times New Roman" w:hAnsi="Times New Roman" w:eastAsia="仿宋_GB2312" w:cs="Times New Roman"/>
          <w:b w:val="0"/>
          <w:bCs/>
          <w:sz w:val="30"/>
          <w:szCs w:val="30"/>
          <w:lang w:val="en-US" w:eastAsia="zh-CN"/>
        </w:rPr>
        <w:t>“优良乡土阔叶树种良种选育和高效栽培技术研究与示范”、“广东省林业科技创新项目-2018KJCX015-重要乡土阔叶树种精选育种群体构建与利用”、“广东省重点领域研发计划现代种业（岭南林及资源开发利用）重大专项-红锥、木荷等大径材乡土阔叶树种新品系定向选育研究”等重大项目研究进展，参考《造林技术规程》 (GB/T15776)、《主要造林树种苗木质量分级》 (GB 6000)、《杉木大径材培育技术规程》 (LY/T2809-2017)、《红锥大径材培育技术规程》(DB44/T 409-2007)等林业行业及地方标准，在标准制定过程中，遵循</w:t>
      </w:r>
      <w:r>
        <w:rPr>
          <w:rFonts w:hint="eastAsia" w:ascii="Times New Roman" w:hAnsi="Times New Roman" w:eastAsia="仿宋_GB2312" w:cs="Times New Roman"/>
          <w:b w:val="0"/>
          <w:bCs/>
          <w:sz w:val="30"/>
          <w:szCs w:val="30"/>
          <w:lang w:val="en-US" w:eastAsia="zh-CN"/>
        </w:rPr>
        <w:t>“</w:t>
      </w:r>
      <w:r>
        <w:rPr>
          <w:rFonts w:hint="default" w:ascii="Times New Roman" w:hAnsi="Times New Roman" w:eastAsia="仿宋_GB2312" w:cs="Times New Roman"/>
          <w:b w:val="0"/>
          <w:bCs/>
          <w:sz w:val="30"/>
          <w:szCs w:val="30"/>
          <w:lang w:val="en-US" w:eastAsia="zh-CN"/>
        </w:rPr>
        <w:t>科学、适用、安全、可行</w:t>
      </w:r>
      <w:r>
        <w:rPr>
          <w:rFonts w:hint="eastAsia" w:ascii="Times New Roman" w:hAnsi="Times New Roman" w:eastAsia="仿宋_GB2312" w:cs="Times New Roman"/>
          <w:b w:val="0"/>
          <w:bCs/>
          <w:sz w:val="30"/>
          <w:szCs w:val="30"/>
          <w:lang w:val="en-US" w:eastAsia="zh-CN"/>
        </w:rPr>
        <w:t>”</w:t>
      </w:r>
      <w:r>
        <w:rPr>
          <w:rFonts w:hint="default" w:ascii="Times New Roman" w:hAnsi="Times New Roman" w:eastAsia="仿宋_GB2312" w:cs="Times New Roman"/>
          <w:b w:val="0"/>
          <w:bCs/>
          <w:sz w:val="30"/>
          <w:szCs w:val="30"/>
          <w:lang w:val="en-US" w:eastAsia="zh-CN"/>
        </w:rPr>
        <w:t>的基本原则，兼顾标准的系统性、先进性</w:t>
      </w:r>
      <w:r>
        <w:rPr>
          <w:rFonts w:hint="eastAsia" w:ascii="Times New Roman" w:hAnsi="Times New Roman" w:eastAsia="仿宋_GB2312" w:cs="Times New Roman"/>
          <w:b w:val="0"/>
          <w:bCs/>
          <w:sz w:val="30"/>
          <w:szCs w:val="30"/>
          <w:lang w:val="en-US" w:eastAsia="zh-CN"/>
        </w:rPr>
        <w:t>、地域性和可操作</w:t>
      </w:r>
      <w:r>
        <w:rPr>
          <w:rFonts w:hint="default" w:ascii="Times New Roman" w:hAnsi="Times New Roman" w:eastAsia="仿宋_GB2312" w:cs="Times New Roman"/>
          <w:b w:val="0"/>
          <w:bCs/>
          <w:sz w:val="30"/>
          <w:szCs w:val="30"/>
          <w:lang w:val="en-US" w:eastAsia="zh-CN"/>
        </w:rPr>
        <w:t>性，尤其注重实际操作层面的可行性</w:t>
      </w:r>
      <w:r>
        <w:rPr>
          <w:rFonts w:hint="eastAsia" w:ascii="Times New Roman" w:hAnsi="Times New Roman" w:eastAsia="仿宋_GB2312" w:cs="Times New Roman"/>
          <w:b w:val="0"/>
          <w:bCs/>
          <w:sz w:val="30"/>
          <w:szCs w:val="30"/>
          <w:lang w:val="en-US" w:eastAsia="zh-CN"/>
        </w:rPr>
        <w:t>，不断完善</w:t>
      </w:r>
      <w:r>
        <w:rPr>
          <w:rFonts w:hint="default" w:ascii="Times New Roman" w:hAnsi="Times New Roman" w:eastAsia="仿宋_GB2312" w:cs="Times New Roman"/>
          <w:b w:val="0"/>
          <w:bCs/>
          <w:sz w:val="30"/>
          <w:szCs w:val="30"/>
          <w:lang w:val="en-US" w:eastAsia="zh-CN"/>
        </w:rPr>
        <w:t>标准</w:t>
      </w:r>
      <w:r>
        <w:rPr>
          <w:rFonts w:hint="eastAsia" w:ascii="Times New Roman" w:hAnsi="Times New Roman" w:eastAsia="仿宋_GB2312" w:cs="Times New Roman"/>
          <w:b w:val="0"/>
          <w:bCs/>
          <w:sz w:val="30"/>
          <w:szCs w:val="30"/>
          <w:lang w:val="en-US" w:eastAsia="zh-CN"/>
        </w:rPr>
        <w:t>框架</w:t>
      </w:r>
      <w:r>
        <w:rPr>
          <w:rFonts w:hint="default" w:ascii="Times New Roman" w:hAnsi="Times New Roman" w:eastAsia="仿宋_GB2312" w:cs="Times New Roman"/>
          <w:b w:val="0"/>
          <w:bCs/>
          <w:sz w:val="30"/>
          <w:szCs w:val="30"/>
          <w:lang w:val="en-US" w:eastAsia="zh-CN"/>
        </w:rPr>
        <w:t>。</w:t>
      </w:r>
    </w:p>
    <w:p w14:paraId="612CF11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02" w:firstLineChars="200"/>
        <w:jc w:val="both"/>
        <w:textAlignment w:val="auto"/>
        <w:rPr>
          <w:rFonts w:hint="default"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bCs w:val="0"/>
          <w:sz w:val="30"/>
          <w:szCs w:val="30"/>
          <w:lang w:val="en-US" w:eastAsia="zh-CN"/>
        </w:rPr>
        <w:t>系统性</w:t>
      </w:r>
      <w:r>
        <w:rPr>
          <w:rFonts w:hint="default" w:ascii="Times New Roman" w:hAnsi="Times New Roman" w:eastAsia="仿宋_GB2312" w:cs="Times New Roman"/>
          <w:b/>
          <w:bCs w:val="0"/>
          <w:sz w:val="30"/>
          <w:szCs w:val="30"/>
          <w:lang w:val="en-US" w:eastAsia="zh-CN"/>
        </w:rPr>
        <w:t>。</w:t>
      </w:r>
      <w:r>
        <w:rPr>
          <w:rFonts w:hint="default" w:ascii="Times New Roman" w:hAnsi="Times New Roman" w:eastAsia="仿宋_GB2312" w:cs="Times New Roman"/>
          <w:b w:val="0"/>
          <w:bCs/>
          <w:sz w:val="30"/>
          <w:szCs w:val="30"/>
          <w:lang w:val="en-US" w:eastAsia="zh-CN"/>
        </w:rPr>
        <w:t>培育大径材人工林，首先必须依据树种生物学和林学特性，适地适树适种源，充分考虑树种生物学特性，发挥林地的生产潜力，选择合适的造林地，提出</w:t>
      </w:r>
      <w:r>
        <w:rPr>
          <w:rFonts w:hint="eastAsia" w:ascii="Times New Roman" w:hAnsi="Times New Roman" w:eastAsia="仿宋_GB2312" w:cs="Times New Roman"/>
          <w:b w:val="0"/>
          <w:bCs/>
          <w:sz w:val="30"/>
          <w:szCs w:val="30"/>
          <w:lang w:val="en-US" w:eastAsia="zh-CN"/>
        </w:rPr>
        <w:t>系统的、</w:t>
      </w:r>
      <w:r>
        <w:rPr>
          <w:rFonts w:hint="default" w:ascii="Times New Roman" w:hAnsi="Times New Roman" w:eastAsia="仿宋_GB2312" w:cs="Times New Roman"/>
          <w:b w:val="0"/>
          <w:bCs/>
          <w:sz w:val="30"/>
          <w:szCs w:val="30"/>
          <w:lang w:val="en-US" w:eastAsia="zh-CN"/>
        </w:rPr>
        <w:t>关键的技术与措施。</w:t>
      </w:r>
    </w:p>
    <w:p w14:paraId="6722D59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02"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bCs w:val="0"/>
          <w:sz w:val="30"/>
          <w:szCs w:val="30"/>
          <w:lang w:val="en-US" w:eastAsia="zh-CN"/>
        </w:rPr>
        <w:t>先进性</w:t>
      </w:r>
      <w:r>
        <w:rPr>
          <w:rFonts w:hint="default" w:ascii="Times New Roman" w:hAnsi="Times New Roman" w:eastAsia="仿宋_GB2312" w:cs="Times New Roman"/>
          <w:b w:val="0"/>
          <w:bCs/>
          <w:sz w:val="30"/>
          <w:szCs w:val="30"/>
          <w:lang w:val="en-US" w:eastAsia="zh-CN"/>
        </w:rPr>
        <w:t>。标准的制定，要把科学试验研究成果和实践总结的技术相结合，总结树种科学栽培技术及造林经验，同时结合广东地区的气候环境、地理位置等实际情况进行编制，以实现标准的先进性。</w:t>
      </w:r>
    </w:p>
    <w:p w14:paraId="21F8637B">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02"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bCs w:val="0"/>
          <w:sz w:val="30"/>
          <w:szCs w:val="30"/>
          <w:lang w:val="en-US" w:eastAsia="zh-CN"/>
        </w:rPr>
        <w:t>地域性。</w:t>
      </w:r>
      <w:r>
        <w:rPr>
          <w:rFonts w:hint="default" w:ascii="Times New Roman" w:hAnsi="Times New Roman" w:eastAsia="仿宋_GB2312" w:cs="Times New Roman"/>
          <w:b w:val="0"/>
          <w:bCs/>
          <w:sz w:val="30"/>
          <w:szCs w:val="30"/>
          <w:lang w:val="en-US" w:eastAsia="zh-CN"/>
        </w:rPr>
        <w:t>大径材培育规程的制订，必须根据木荷在各地不同地理环境、气候条件、不同立地的适生程度，划分不同的立地类型，从而确定不同的大径材培育指标。</w:t>
      </w:r>
    </w:p>
    <w:p w14:paraId="4D83F281">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0" w:leftChars="0" w:firstLine="602"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bCs w:val="0"/>
          <w:sz w:val="30"/>
          <w:szCs w:val="30"/>
          <w:lang w:val="en-US" w:eastAsia="zh-CN"/>
        </w:rPr>
        <w:t>可操作性。</w:t>
      </w:r>
      <w:r>
        <w:rPr>
          <w:rFonts w:hint="default" w:ascii="Times New Roman" w:hAnsi="Times New Roman" w:eastAsia="仿宋_GB2312" w:cs="Times New Roman"/>
          <w:b w:val="0"/>
          <w:bCs/>
          <w:sz w:val="30"/>
          <w:szCs w:val="30"/>
          <w:lang w:val="en-US" w:eastAsia="zh-CN"/>
        </w:rPr>
        <w:t>培育大径级原木林，要权威的、实践经验丰富的专家可根据文件指导、培训更多实际操作的基层技术人员或林农。因此标准编制务求简单明了，可操作性强，方便基层人员明白了解。</w:t>
      </w:r>
    </w:p>
    <w:p w14:paraId="56D13ED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楷体_GB2312" w:hAnsi="楷体_GB2312" w:eastAsia="楷体_GB2312" w:cs="楷体_GB2312"/>
          <w:b w:val="0"/>
          <w:bCs/>
          <w:sz w:val="30"/>
          <w:szCs w:val="30"/>
          <w:lang w:val="en-US" w:eastAsia="zh-CN"/>
        </w:rPr>
      </w:pPr>
      <w:r>
        <w:rPr>
          <w:rFonts w:hint="eastAsia" w:ascii="楷体_GB2312" w:hAnsi="楷体_GB2312" w:eastAsia="楷体_GB2312" w:cs="楷体_GB2312"/>
          <w:b w:val="0"/>
          <w:bCs/>
          <w:sz w:val="30"/>
          <w:szCs w:val="30"/>
          <w:lang w:val="en-US" w:eastAsia="zh-CN"/>
        </w:rPr>
        <w:t>（二）</w:t>
      </w:r>
      <w:r>
        <w:rPr>
          <w:rFonts w:hint="default" w:ascii="楷体_GB2312" w:hAnsi="楷体_GB2312" w:eastAsia="楷体_GB2312" w:cs="楷体_GB2312"/>
          <w:b w:val="0"/>
          <w:bCs/>
          <w:sz w:val="30"/>
          <w:szCs w:val="30"/>
          <w:lang w:val="en-US" w:eastAsia="zh-CN"/>
        </w:rPr>
        <w:t>标准框架、主要内容及其确定依据</w:t>
      </w:r>
    </w:p>
    <w:p w14:paraId="570C623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2" w:firstLineChars="200"/>
        <w:jc w:val="both"/>
        <w:textAlignment w:val="auto"/>
        <w:rPr>
          <w:rFonts w:hint="default" w:ascii="Times New Roman" w:hAnsi="Times New Roman" w:eastAsia="仿宋_GB2312" w:cs="Times New Roman"/>
          <w:b/>
          <w:bCs w:val="0"/>
          <w:sz w:val="30"/>
          <w:szCs w:val="30"/>
          <w:lang w:val="en-US" w:eastAsia="zh-CN"/>
        </w:rPr>
      </w:pPr>
      <w:r>
        <w:rPr>
          <w:rFonts w:hint="default" w:ascii="Times New Roman" w:hAnsi="Times New Roman" w:eastAsia="仿宋_GB2312" w:cs="Times New Roman"/>
          <w:b/>
          <w:bCs w:val="0"/>
          <w:sz w:val="30"/>
          <w:szCs w:val="30"/>
          <w:lang w:val="en-US" w:eastAsia="zh-CN"/>
        </w:rPr>
        <w:t>1</w:t>
      </w:r>
      <w:r>
        <w:rPr>
          <w:rFonts w:hint="eastAsia" w:ascii="Times New Roman" w:hAnsi="Times New Roman" w:eastAsia="仿宋_GB2312" w:cs="Times New Roman"/>
          <w:b/>
          <w:bCs w:val="0"/>
          <w:sz w:val="30"/>
          <w:szCs w:val="30"/>
          <w:lang w:val="en-US" w:eastAsia="zh-CN"/>
        </w:rPr>
        <w:t xml:space="preserve">. </w:t>
      </w:r>
      <w:r>
        <w:rPr>
          <w:rFonts w:hint="default" w:ascii="Times New Roman" w:hAnsi="Times New Roman" w:eastAsia="仿宋_GB2312" w:cs="Times New Roman"/>
          <w:b/>
          <w:bCs w:val="0"/>
          <w:sz w:val="30"/>
          <w:szCs w:val="30"/>
          <w:lang w:val="en-US" w:eastAsia="zh-CN"/>
        </w:rPr>
        <w:t>标准框架、主要内容</w:t>
      </w:r>
    </w:p>
    <w:p w14:paraId="5AC58A3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本标准对木荷大径材人工林培育的基本术语和定义、培育指标、苗木培育、造林技术、抚育管理、采伐更新、验收和建档等技术要求做了明确的阐述，可以指导和规范</w:t>
      </w:r>
      <w:r>
        <w:rPr>
          <w:rFonts w:hint="eastAsia" w:ascii="Times New Roman" w:hAnsi="Times New Roman" w:eastAsia="仿宋_GB2312" w:cs="Times New Roman"/>
          <w:b w:val="0"/>
          <w:bCs/>
          <w:sz w:val="30"/>
          <w:szCs w:val="30"/>
          <w:lang w:val="en-US" w:eastAsia="zh-CN"/>
        </w:rPr>
        <w:t>广东</w:t>
      </w:r>
      <w:r>
        <w:rPr>
          <w:rFonts w:hint="default" w:ascii="Times New Roman" w:hAnsi="Times New Roman" w:eastAsia="仿宋_GB2312" w:cs="Times New Roman"/>
          <w:b w:val="0"/>
          <w:bCs/>
          <w:sz w:val="30"/>
          <w:szCs w:val="30"/>
          <w:lang w:val="en-US" w:eastAsia="zh-CN"/>
        </w:rPr>
        <w:t>地区的木荷人工林建设，对促进我国大径级原木生产供应起到积极作用。</w:t>
      </w:r>
    </w:p>
    <w:p w14:paraId="235D27BE">
      <w:pPr>
        <w:keepNext w:val="0"/>
        <w:keepLines w:val="0"/>
        <w:pageBreakBefore w:val="0"/>
        <w:widowControl w:val="0"/>
        <w:numPr>
          <w:ilvl w:val="0"/>
          <w:numId w:val="2"/>
        </w:numPr>
        <w:kinsoku/>
        <w:wordWrap/>
        <w:overflowPunct/>
        <w:topLinePunct w:val="0"/>
        <w:autoSpaceDE/>
        <w:autoSpaceDN/>
        <w:bidi w:val="0"/>
        <w:adjustRightInd w:val="0"/>
        <w:snapToGrid w:val="0"/>
        <w:spacing w:line="600" w:lineRule="exact"/>
        <w:ind w:firstLine="602" w:firstLineChars="200"/>
        <w:jc w:val="both"/>
        <w:textAlignment w:val="auto"/>
        <w:rPr>
          <w:rFonts w:hint="default" w:ascii="Times New Roman" w:hAnsi="Times New Roman" w:eastAsia="仿宋_GB2312" w:cs="Times New Roman"/>
          <w:b/>
          <w:bCs w:val="0"/>
          <w:sz w:val="30"/>
          <w:szCs w:val="30"/>
          <w:lang w:val="en-US" w:eastAsia="zh-CN"/>
        </w:rPr>
      </w:pPr>
      <w:r>
        <w:rPr>
          <w:rFonts w:hint="eastAsia" w:ascii="Times New Roman" w:hAnsi="Times New Roman" w:eastAsia="仿宋_GB2312" w:cs="Times New Roman"/>
          <w:b/>
          <w:bCs w:val="0"/>
          <w:sz w:val="30"/>
          <w:szCs w:val="30"/>
          <w:lang w:val="en-US" w:eastAsia="zh-CN"/>
        </w:rPr>
        <w:t>标准</w:t>
      </w:r>
      <w:r>
        <w:rPr>
          <w:rFonts w:hint="default" w:ascii="Times New Roman" w:hAnsi="Times New Roman" w:eastAsia="仿宋_GB2312" w:cs="Times New Roman"/>
          <w:b/>
          <w:bCs w:val="0"/>
          <w:sz w:val="30"/>
          <w:szCs w:val="30"/>
          <w:lang w:val="en-US" w:eastAsia="zh-CN"/>
        </w:rPr>
        <w:t>确认</w:t>
      </w:r>
      <w:r>
        <w:rPr>
          <w:rFonts w:hint="eastAsia" w:ascii="Times New Roman" w:hAnsi="Times New Roman" w:eastAsia="仿宋_GB2312" w:cs="Times New Roman"/>
          <w:b/>
          <w:bCs w:val="0"/>
          <w:sz w:val="30"/>
          <w:szCs w:val="30"/>
          <w:lang w:val="en-US" w:eastAsia="zh-CN"/>
        </w:rPr>
        <w:t>的</w:t>
      </w:r>
      <w:r>
        <w:rPr>
          <w:rFonts w:hint="default" w:ascii="Times New Roman" w:hAnsi="Times New Roman" w:eastAsia="仿宋_GB2312" w:cs="Times New Roman"/>
          <w:b/>
          <w:bCs w:val="0"/>
          <w:sz w:val="30"/>
          <w:szCs w:val="30"/>
          <w:lang w:val="en-US" w:eastAsia="zh-CN"/>
        </w:rPr>
        <w:t>依据</w:t>
      </w:r>
    </w:p>
    <w:p w14:paraId="033BC71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主要参考相关标准</w:t>
      </w:r>
      <w:r>
        <w:rPr>
          <w:rFonts w:hint="eastAsia" w:ascii="Times New Roman" w:hAnsi="Times New Roman" w:eastAsia="仿宋_GB2312" w:cs="Times New Roman"/>
          <w:b w:val="0"/>
          <w:bCs/>
          <w:sz w:val="30"/>
          <w:szCs w:val="30"/>
          <w:lang w:val="en-US" w:eastAsia="zh-CN"/>
        </w:rPr>
        <w:t>：</w:t>
      </w:r>
    </w:p>
    <w:p w14:paraId="7E494E4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GB 2772 林木种子检验技术规程</w:t>
      </w:r>
    </w:p>
    <w:p w14:paraId="09BED96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GB/T 15781 森林抚育规程</w:t>
      </w:r>
    </w:p>
    <w:p w14:paraId="788A2DD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LY/T 1646 森林采伐作业规程</w:t>
      </w:r>
    </w:p>
    <w:p w14:paraId="2C689F6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LY/T 2037 木荷培育技术规程</w:t>
      </w:r>
    </w:p>
    <w:p w14:paraId="5B021D5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LY/T 2118 大径级用材林培育导则</w:t>
      </w:r>
    </w:p>
    <w:p w14:paraId="603E73A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LY/T 2289 林木种苗生产经营档案</w:t>
      </w:r>
    </w:p>
    <w:p w14:paraId="06C54B1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LY/T 2290 林木种苗标签</w:t>
      </w:r>
    </w:p>
    <w:p w14:paraId="16EB768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DB44/T 245 主要阔叶树种苗木质量分级</w:t>
      </w:r>
    </w:p>
    <w:p w14:paraId="0BA0694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DB44/T 2245 造林绿化树种种子质量分级</w:t>
      </w:r>
    </w:p>
    <w:p w14:paraId="791201C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DB44/T 2584 大径材基地建设技术规程</w:t>
      </w:r>
    </w:p>
    <w:p w14:paraId="4C48A5F6">
      <w:pPr>
        <w:numPr>
          <w:ilvl w:val="0"/>
          <w:numId w:val="0"/>
        </w:numPr>
        <w:adjustRightInd w:val="0"/>
        <w:snapToGrid w:val="0"/>
        <w:spacing w:line="360" w:lineRule="auto"/>
        <w:jc w:val="both"/>
        <w:rPr>
          <w:rFonts w:hint="eastAsia" w:eastAsia="黑体"/>
          <w:b w:val="0"/>
          <w:bCs/>
          <w:sz w:val="30"/>
          <w:szCs w:val="30"/>
        </w:rPr>
      </w:pPr>
      <w:r>
        <w:rPr>
          <w:rFonts w:hint="eastAsia" w:eastAsia="黑体"/>
          <w:b w:val="0"/>
          <w:bCs/>
          <w:sz w:val="30"/>
          <w:szCs w:val="30"/>
          <w:lang w:val="en-US" w:eastAsia="zh-CN"/>
        </w:rPr>
        <w:t>四、</w:t>
      </w:r>
      <w:r>
        <w:rPr>
          <w:rFonts w:hint="eastAsia" w:eastAsia="黑体"/>
          <w:b w:val="0"/>
          <w:bCs/>
          <w:sz w:val="30"/>
          <w:szCs w:val="30"/>
        </w:rPr>
        <w:t>与现行法律法规、强制性标准等上位标准关系。</w:t>
      </w:r>
    </w:p>
    <w:p w14:paraId="18D5EF7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lang w:val="en-US" w:eastAsia="zh-CN"/>
        </w:rPr>
        <w:t>本标准遵守相关法律法规，根据调查何实际生产经验编写，与强制标准等上位标准没有对立冲突关系，是地方团体推荐性标准。</w:t>
      </w:r>
    </w:p>
    <w:p w14:paraId="3EE642FF">
      <w:pPr>
        <w:numPr>
          <w:ilvl w:val="0"/>
          <w:numId w:val="0"/>
        </w:numPr>
        <w:adjustRightInd w:val="0"/>
        <w:snapToGrid w:val="0"/>
        <w:spacing w:line="360" w:lineRule="auto"/>
        <w:ind w:leftChars="0"/>
        <w:jc w:val="both"/>
        <w:rPr>
          <w:rFonts w:hint="eastAsia" w:ascii="仿宋" w:hAnsi="仿宋" w:eastAsia="仿宋" w:cs="仿宋"/>
          <w:b w:val="0"/>
          <w:bCs/>
          <w:sz w:val="30"/>
          <w:szCs w:val="30"/>
        </w:rPr>
      </w:pPr>
      <w:r>
        <w:rPr>
          <w:rFonts w:hint="eastAsia" w:eastAsia="黑体"/>
          <w:b w:val="0"/>
          <w:bCs/>
          <w:sz w:val="30"/>
          <w:szCs w:val="30"/>
          <w:lang w:val="en-US" w:eastAsia="zh-CN"/>
        </w:rPr>
        <w:t>五、</w:t>
      </w:r>
      <w:r>
        <w:rPr>
          <w:rFonts w:hint="eastAsia" w:eastAsia="黑体"/>
          <w:b w:val="0"/>
          <w:bCs/>
          <w:sz w:val="30"/>
          <w:szCs w:val="30"/>
        </w:rPr>
        <w:t>标准有何先进性或特色性。</w:t>
      </w:r>
      <w:r>
        <w:rPr>
          <w:rFonts w:hint="eastAsia" w:ascii="仿宋" w:hAnsi="仿宋" w:eastAsia="仿宋" w:cs="仿宋"/>
          <w:b w:val="0"/>
          <w:bCs/>
          <w:sz w:val="30"/>
          <w:szCs w:val="30"/>
        </w:rPr>
        <w:t>(与新《标准化法》第一三条相呼应)</w:t>
      </w:r>
    </w:p>
    <w:p w14:paraId="7AA4D70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仿宋_GB2312" w:hAnsi="仿宋_GB2312" w:eastAsia="仿宋_GB2312" w:cs="仿宋_GB2312"/>
          <w:b w:val="0"/>
          <w:bCs/>
          <w:sz w:val="30"/>
          <w:szCs w:val="30"/>
          <w:lang w:val="en-US" w:eastAsia="zh-CN"/>
        </w:rPr>
      </w:pPr>
      <w:r>
        <w:rPr>
          <w:rFonts w:hint="default" w:ascii="仿宋_GB2312" w:hAnsi="仿宋_GB2312" w:eastAsia="仿宋_GB2312" w:cs="仿宋_GB2312"/>
          <w:b w:val="0"/>
          <w:bCs/>
          <w:sz w:val="30"/>
          <w:szCs w:val="30"/>
          <w:lang w:val="en-US" w:eastAsia="zh-CN"/>
        </w:rPr>
        <w:t>《木荷大径材培育技术规程》是为满足新时代生态文明建设、绿美广东生态建设和森林质量精准提升行动的高质量发展需求，经相关从业人员调查研究拟定的高品质技术标准。其先进性或特色性如下：</w:t>
      </w:r>
    </w:p>
    <w:p w14:paraId="5167775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lang w:val="en-US" w:eastAsia="zh-CN"/>
        </w:rPr>
        <w:t>（1）</w:t>
      </w:r>
      <w:r>
        <w:rPr>
          <w:rFonts w:hint="default" w:ascii="仿宋_GB2312" w:hAnsi="仿宋_GB2312" w:eastAsia="仿宋_GB2312" w:cs="仿宋_GB2312"/>
          <w:b w:val="0"/>
          <w:bCs/>
          <w:sz w:val="30"/>
          <w:szCs w:val="30"/>
          <w:lang w:val="en-US" w:eastAsia="zh-CN"/>
        </w:rPr>
        <w:t>明确我省乡土树种木荷大径材树种苗木培育选用轻基质</w:t>
      </w:r>
      <w:r>
        <w:rPr>
          <w:rFonts w:hint="eastAsia" w:ascii="仿宋_GB2312" w:hAnsi="仿宋_GB2312" w:eastAsia="仿宋_GB2312" w:cs="仿宋_GB2312"/>
          <w:b w:val="0"/>
          <w:bCs/>
          <w:sz w:val="30"/>
          <w:szCs w:val="30"/>
          <w:lang w:val="en-US" w:eastAsia="zh-CN"/>
        </w:rPr>
        <w:t>容器</w:t>
      </w:r>
      <w:r>
        <w:rPr>
          <w:rFonts w:hint="default" w:ascii="仿宋_GB2312" w:hAnsi="仿宋_GB2312" w:eastAsia="仿宋_GB2312" w:cs="仿宋_GB2312"/>
          <w:b w:val="0"/>
          <w:bCs/>
          <w:sz w:val="30"/>
          <w:szCs w:val="30"/>
          <w:lang w:val="en-US" w:eastAsia="zh-CN"/>
        </w:rPr>
        <w:t>育苗的技术要求。</w:t>
      </w:r>
    </w:p>
    <w:p w14:paraId="5881534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lang w:val="en-US" w:eastAsia="zh-CN"/>
        </w:rPr>
        <w:t>（2）</w:t>
      </w:r>
      <w:r>
        <w:rPr>
          <w:rFonts w:hint="default" w:ascii="仿宋_GB2312" w:hAnsi="仿宋_GB2312" w:eastAsia="仿宋_GB2312" w:cs="仿宋_GB2312"/>
          <w:b w:val="0"/>
          <w:bCs/>
          <w:sz w:val="30"/>
          <w:szCs w:val="30"/>
          <w:lang w:val="en-US" w:eastAsia="zh-CN"/>
        </w:rPr>
        <w:t>明确不同立地条件下木荷大径材苗木的</w:t>
      </w:r>
      <w:r>
        <w:rPr>
          <w:rFonts w:hint="eastAsia" w:ascii="仿宋_GB2312" w:hAnsi="仿宋_GB2312" w:eastAsia="仿宋_GB2312" w:cs="仿宋_GB2312"/>
          <w:b w:val="0"/>
          <w:bCs/>
          <w:sz w:val="30"/>
          <w:szCs w:val="30"/>
          <w:lang w:val="en-US" w:eastAsia="zh-CN"/>
        </w:rPr>
        <w:t>初</w:t>
      </w:r>
      <w:r>
        <w:rPr>
          <w:rFonts w:hint="default" w:ascii="仿宋_GB2312" w:hAnsi="仿宋_GB2312" w:eastAsia="仿宋_GB2312" w:cs="仿宋_GB2312"/>
          <w:b w:val="0"/>
          <w:bCs/>
          <w:sz w:val="30"/>
          <w:szCs w:val="30"/>
          <w:lang w:val="en-US" w:eastAsia="zh-CN"/>
        </w:rPr>
        <w:t>植密度。</w:t>
      </w:r>
    </w:p>
    <w:p w14:paraId="2567205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lang w:val="en-US" w:eastAsia="zh-CN"/>
        </w:rPr>
        <w:t>（3）</w:t>
      </w:r>
      <w:r>
        <w:rPr>
          <w:rFonts w:hint="default" w:ascii="仿宋_GB2312" w:hAnsi="仿宋_GB2312" w:eastAsia="仿宋_GB2312" w:cs="仿宋_GB2312"/>
          <w:b w:val="0"/>
          <w:bCs/>
          <w:sz w:val="30"/>
          <w:szCs w:val="30"/>
          <w:lang w:val="en-US" w:eastAsia="zh-CN"/>
        </w:rPr>
        <w:t>确定大径材木荷抚育间伐</w:t>
      </w:r>
      <w:r>
        <w:rPr>
          <w:rFonts w:hint="eastAsia" w:ascii="仿宋_GB2312" w:hAnsi="仿宋_GB2312" w:eastAsia="仿宋_GB2312" w:cs="仿宋_GB2312"/>
          <w:b w:val="0"/>
          <w:bCs/>
          <w:sz w:val="30"/>
          <w:szCs w:val="30"/>
          <w:lang w:val="en-US" w:eastAsia="zh-CN"/>
        </w:rPr>
        <w:t>强度及时间</w:t>
      </w:r>
      <w:r>
        <w:rPr>
          <w:rFonts w:hint="default" w:ascii="仿宋_GB2312" w:hAnsi="仿宋_GB2312" w:eastAsia="仿宋_GB2312" w:cs="仿宋_GB2312"/>
          <w:b w:val="0"/>
          <w:bCs/>
          <w:sz w:val="30"/>
          <w:szCs w:val="30"/>
          <w:lang w:val="en-US" w:eastAsia="zh-CN"/>
        </w:rPr>
        <w:t>。</w:t>
      </w:r>
    </w:p>
    <w:p w14:paraId="7ED4213E">
      <w:pPr>
        <w:numPr>
          <w:ilvl w:val="0"/>
          <w:numId w:val="0"/>
        </w:numPr>
        <w:adjustRightInd w:val="0"/>
        <w:snapToGrid w:val="0"/>
        <w:spacing w:line="360" w:lineRule="auto"/>
        <w:ind w:leftChars="0"/>
        <w:jc w:val="both"/>
        <w:rPr>
          <w:rFonts w:hint="eastAsia" w:eastAsia="黑体"/>
          <w:b w:val="0"/>
          <w:bCs/>
          <w:sz w:val="30"/>
          <w:szCs w:val="30"/>
        </w:rPr>
      </w:pPr>
    </w:p>
    <w:p w14:paraId="74D35C32">
      <w:pPr>
        <w:adjustRightInd w:val="0"/>
        <w:snapToGrid w:val="0"/>
        <w:spacing w:line="360" w:lineRule="auto"/>
        <w:jc w:val="both"/>
        <w:rPr>
          <w:rFonts w:hint="eastAsia" w:ascii="仿宋" w:hAnsi="仿宋" w:eastAsia="仿宋" w:cs="仿宋"/>
          <w:b w:val="0"/>
          <w:bCs/>
          <w:sz w:val="30"/>
          <w:szCs w:val="30"/>
        </w:rPr>
      </w:pPr>
      <w:r>
        <w:rPr>
          <w:rFonts w:hint="eastAsia" w:eastAsia="黑体"/>
          <w:b w:val="0"/>
          <w:bCs/>
          <w:sz w:val="30"/>
          <w:szCs w:val="30"/>
          <w:lang w:val="en-US" w:eastAsia="zh-CN"/>
        </w:rPr>
        <w:t>六、</w:t>
      </w:r>
      <w:r>
        <w:rPr>
          <w:rFonts w:hint="eastAsia" w:eastAsia="黑体"/>
          <w:b w:val="0"/>
          <w:bCs/>
          <w:sz w:val="30"/>
          <w:szCs w:val="30"/>
        </w:rPr>
        <w:t>标准调研、研讨、征求意见情况。重大分歧意见的处理经过和依据。</w:t>
      </w:r>
      <w:r>
        <w:rPr>
          <w:rFonts w:hint="eastAsia" w:ascii="仿宋" w:hAnsi="仿宋" w:eastAsia="仿宋" w:cs="仿宋"/>
          <w:b w:val="0"/>
          <w:bCs/>
          <w:sz w:val="30"/>
          <w:szCs w:val="30"/>
        </w:rPr>
        <w:t>(描述何时做了什么，文本作何修改，征求意见时间不少于三十日，并重点说明征求意见过程及反馈意见处理情况。)</w:t>
      </w:r>
    </w:p>
    <w:p w14:paraId="58D9F99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楷体_GB2312" w:hAnsi="楷体_GB2312" w:eastAsia="楷体_GB2312" w:cs="楷体_GB2312"/>
          <w:b w:val="0"/>
          <w:bCs/>
          <w:sz w:val="30"/>
          <w:szCs w:val="30"/>
          <w:lang w:val="en-US" w:eastAsia="zh-CN"/>
        </w:rPr>
      </w:pPr>
      <w:r>
        <w:rPr>
          <w:rFonts w:hint="eastAsia" w:ascii="楷体_GB2312" w:hAnsi="楷体_GB2312" w:eastAsia="楷体_GB2312" w:cs="楷体_GB2312"/>
          <w:b w:val="0"/>
          <w:bCs/>
          <w:sz w:val="30"/>
          <w:szCs w:val="30"/>
          <w:lang w:val="en-US" w:eastAsia="zh-CN"/>
        </w:rPr>
        <w:t>（一）预备阶段</w:t>
      </w:r>
    </w:p>
    <w:p w14:paraId="2E8C729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202</w:t>
      </w:r>
      <w:r>
        <w:rPr>
          <w:rFonts w:hint="eastAsia" w:ascii="Times New Roman" w:hAnsi="Times New Roman" w:eastAsia="仿宋_GB2312" w:cs="Times New Roman"/>
          <w:b w:val="0"/>
          <w:bCs/>
          <w:sz w:val="30"/>
          <w:szCs w:val="30"/>
          <w:lang w:val="en-US" w:eastAsia="zh-CN"/>
        </w:rPr>
        <w:t>5</w:t>
      </w:r>
      <w:r>
        <w:rPr>
          <w:rFonts w:hint="default" w:ascii="Times New Roman" w:hAnsi="Times New Roman" w:eastAsia="仿宋_GB2312" w:cs="Times New Roman"/>
          <w:b w:val="0"/>
          <w:bCs/>
          <w:sz w:val="30"/>
          <w:szCs w:val="30"/>
          <w:lang w:val="en-US" w:eastAsia="zh-CN"/>
        </w:rPr>
        <w:t>年3~</w:t>
      </w:r>
      <w:r>
        <w:rPr>
          <w:rFonts w:hint="eastAsia" w:ascii="Times New Roman" w:hAnsi="Times New Roman" w:eastAsia="仿宋_GB2312" w:cs="Times New Roman"/>
          <w:b w:val="0"/>
          <w:bCs/>
          <w:sz w:val="30"/>
          <w:szCs w:val="30"/>
          <w:lang w:val="en-US" w:eastAsia="zh-CN"/>
        </w:rPr>
        <w:t>4</w:t>
      </w:r>
      <w:r>
        <w:rPr>
          <w:rFonts w:hint="default" w:ascii="Times New Roman" w:hAnsi="Times New Roman" w:eastAsia="仿宋_GB2312" w:cs="Times New Roman"/>
          <w:b w:val="0"/>
          <w:bCs/>
          <w:sz w:val="30"/>
          <w:szCs w:val="30"/>
          <w:lang w:val="en-US" w:eastAsia="zh-CN"/>
        </w:rPr>
        <w:t>月：主要收集林业行政管理部门、生产单位和其它科研单位的意见，了解国内外相关标准的制定情况，初步收集科研及生产实践有关资料，向</w:t>
      </w:r>
      <w:r>
        <w:rPr>
          <w:rFonts w:hint="default" w:ascii="Times New Roman" w:hAnsi="Times New Roman" w:eastAsia="仿宋_GB2312" w:cs="Times New Roman"/>
          <w:sz w:val="30"/>
          <w:szCs w:val="30"/>
        </w:rPr>
        <w:t>广东省市场监督管理局</w:t>
      </w:r>
      <w:r>
        <w:rPr>
          <w:rFonts w:hint="default" w:ascii="Times New Roman" w:hAnsi="Times New Roman" w:eastAsia="仿宋_GB2312" w:cs="Times New Roman"/>
          <w:b w:val="0"/>
          <w:bCs/>
          <w:sz w:val="30"/>
          <w:szCs w:val="30"/>
          <w:lang w:val="en-US" w:eastAsia="zh-CN"/>
        </w:rPr>
        <w:t>提出立项申请。</w:t>
      </w:r>
    </w:p>
    <w:p w14:paraId="7911F17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楷体_GB2312" w:cs="Times New Roman"/>
          <w:b w:val="0"/>
          <w:bCs/>
          <w:sz w:val="30"/>
          <w:szCs w:val="30"/>
          <w:lang w:val="en-US" w:eastAsia="zh-CN"/>
        </w:rPr>
      </w:pPr>
      <w:r>
        <w:rPr>
          <w:rFonts w:hint="default" w:ascii="Times New Roman" w:hAnsi="Times New Roman" w:eastAsia="楷体_GB2312" w:cs="Times New Roman"/>
          <w:b w:val="0"/>
          <w:bCs/>
          <w:sz w:val="30"/>
          <w:szCs w:val="30"/>
          <w:lang w:val="en-US" w:eastAsia="zh-CN"/>
        </w:rPr>
        <w:t>2、立项阶段</w:t>
      </w:r>
    </w:p>
    <w:p w14:paraId="0FE87C6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202</w:t>
      </w:r>
      <w:r>
        <w:rPr>
          <w:rFonts w:hint="eastAsia" w:ascii="Times New Roman" w:hAnsi="Times New Roman" w:eastAsia="仿宋_GB2312" w:cs="Times New Roman"/>
          <w:b w:val="0"/>
          <w:bCs/>
          <w:sz w:val="30"/>
          <w:szCs w:val="30"/>
          <w:lang w:val="en-US" w:eastAsia="zh-CN"/>
        </w:rPr>
        <w:t>5</w:t>
      </w:r>
      <w:r>
        <w:rPr>
          <w:rFonts w:hint="default" w:ascii="Times New Roman" w:hAnsi="Times New Roman" w:eastAsia="仿宋_GB2312" w:cs="Times New Roman"/>
          <w:b w:val="0"/>
          <w:bCs/>
          <w:sz w:val="30"/>
          <w:szCs w:val="30"/>
          <w:lang w:val="en-US" w:eastAsia="zh-CN"/>
        </w:rPr>
        <w:t>年</w:t>
      </w:r>
      <w:r>
        <w:rPr>
          <w:rFonts w:hint="eastAsia" w:ascii="Times New Roman" w:hAnsi="Times New Roman" w:eastAsia="仿宋_GB2312" w:cs="Times New Roman"/>
          <w:b w:val="0"/>
          <w:bCs/>
          <w:sz w:val="30"/>
          <w:szCs w:val="30"/>
          <w:lang w:val="en-US" w:eastAsia="zh-CN"/>
        </w:rPr>
        <w:t>10-11</w:t>
      </w:r>
      <w:r>
        <w:rPr>
          <w:rFonts w:hint="default" w:ascii="Times New Roman" w:hAnsi="Times New Roman" w:eastAsia="仿宋_GB2312" w:cs="Times New Roman"/>
          <w:b w:val="0"/>
          <w:bCs/>
          <w:sz w:val="30"/>
          <w:szCs w:val="30"/>
          <w:lang w:val="en-US" w:eastAsia="zh-CN"/>
        </w:rPr>
        <w:t>月：</w:t>
      </w:r>
      <w:r>
        <w:rPr>
          <w:rFonts w:hint="default" w:ascii="Times New Roman" w:hAnsi="Times New Roman" w:eastAsia="仿宋_GB2312" w:cs="Times New Roman"/>
          <w:sz w:val="30"/>
          <w:szCs w:val="30"/>
        </w:rPr>
        <w:t>广东省市场监督管理局</w:t>
      </w:r>
      <w:r>
        <w:rPr>
          <w:rFonts w:hint="default" w:ascii="Times New Roman" w:hAnsi="Times New Roman" w:eastAsia="仿宋_GB2312" w:cs="Times New Roman"/>
          <w:b w:val="0"/>
          <w:bCs/>
          <w:sz w:val="30"/>
          <w:szCs w:val="30"/>
          <w:lang w:val="en-US" w:eastAsia="zh-CN"/>
        </w:rPr>
        <w:t>下达</w:t>
      </w:r>
      <w:r>
        <w:rPr>
          <w:rFonts w:hint="eastAsia" w:ascii="Times New Roman" w:hAnsi="Times New Roman" w:eastAsia="仿宋_GB2312" w:cs="Times New Roman"/>
          <w:b w:val="0"/>
          <w:bCs/>
          <w:sz w:val="30"/>
          <w:szCs w:val="30"/>
          <w:lang w:val="en-US" w:eastAsia="zh-CN"/>
        </w:rPr>
        <w:t>广东省地方</w:t>
      </w:r>
      <w:r>
        <w:rPr>
          <w:rFonts w:hint="default" w:ascii="Times New Roman" w:hAnsi="Times New Roman" w:eastAsia="仿宋_GB2312" w:cs="Times New Roman"/>
          <w:b w:val="0"/>
          <w:bCs/>
          <w:sz w:val="30"/>
          <w:szCs w:val="30"/>
          <w:lang w:val="en-US" w:eastAsia="zh-CN"/>
        </w:rPr>
        <w:t>标准《木荷大径材培育技术规程》</w:t>
      </w:r>
      <w:r>
        <w:rPr>
          <w:rFonts w:hint="eastAsia" w:ascii="Times New Roman" w:hAnsi="Times New Roman" w:eastAsia="仿宋_GB2312" w:cs="Times New Roman"/>
          <w:b w:val="0"/>
          <w:bCs/>
          <w:sz w:val="30"/>
          <w:szCs w:val="30"/>
          <w:lang w:val="en-US" w:eastAsia="zh-CN"/>
        </w:rPr>
        <w:t>制定</w:t>
      </w:r>
      <w:r>
        <w:rPr>
          <w:rFonts w:hint="default" w:ascii="Times New Roman" w:hAnsi="Times New Roman" w:eastAsia="仿宋_GB2312" w:cs="Times New Roman"/>
          <w:b w:val="0"/>
          <w:bCs/>
          <w:sz w:val="30"/>
          <w:szCs w:val="30"/>
          <w:lang w:val="en-US" w:eastAsia="zh-CN"/>
        </w:rPr>
        <w:t>任务。</w:t>
      </w:r>
    </w:p>
    <w:p w14:paraId="6E0E2DE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楷体_GB2312" w:cs="Times New Roman"/>
          <w:b w:val="0"/>
          <w:bCs/>
          <w:sz w:val="30"/>
          <w:szCs w:val="30"/>
          <w:lang w:val="en-US" w:eastAsia="zh-CN"/>
        </w:rPr>
      </w:pPr>
      <w:r>
        <w:rPr>
          <w:rFonts w:hint="default" w:ascii="Times New Roman" w:hAnsi="Times New Roman" w:eastAsia="楷体_GB2312" w:cs="Times New Roman"/>
          <w:b w:val="0"/>
          <w:bCs/>
          <w:sz w:val="30"/>
          <w:szCs w:val="30"/>
          <w:lang w:val="en-US" w:eastAsia="zh-CN"/>
        </w:rPr>
        <w:t>3、征求意见稿编写阶段</w:t>
      </w:r>
    </w:p>
    <w:p w14:paraId="0FDE8FB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202</w:t>
      </w:r>
      <w:r>
        <w:rPr>
          <w:rFonts w:hint="eastAsia" w:ascii="Times New Roman" w:hAnsi="Times New Roman" w:eastAsia="仿宋_GB2312" w:cs="Times New Roman"/>
          <w:b w:val="0"/>
          <w:bCs/>
          <w:sz w:val="30"/>
          <w:szCs w:val="30"/>
          <w:lang w:val="en-US" w:eastAsia="zh-CN"/>
        </w:rPr>
        <w:t>5</w:t>
      </w:r>
      <w:r>
        <w:rPr>
          <w:rFonts w:hint="default" w:ascii="Times New Roman" w:hAnsi="Times New Roman" w:eastAsia="仿宋_GB2312" w:cs="Times New Roman"/>
          <w:b w:val="0"/>
          <w:bCs/>
          <w:sz w:val="30"/>
          <w:szCs w:val="30"/>
          <w:lang w:val="en-US" w:eastAsia="zh-CN"/>
        </w:rPr>
        <w:t>年1</w:t>
      </w:r>
      <w:r>
        <w:rPr>
          <w:rFonts w:hint="eastAsia" w:ascii="Times New Roman" w:hAnsi="Times New Roman" w:eastAsia="仿宋_GB2312" w:cs="Times New Roman"/>
          <w:b w:val="0"/>
          <w:bCs/>
          <w:sz w:val="30"/>
          <w:szCs w:val="30"/>
          <w:lang w:val="en-US" w:eastAsia="zh-CN"/>
        </w:rPr>
        <w:t>2</w:t>
      </w:r>
      <w:r>
        <w:rPr>
          <w:rFonts w:hint="default" w:ascii="Times New Roman" w:hAnsi="Times New Roman" w:eastAsia="仿宋_GB2312" w:cs="Times New Roman"/>
          <w:b w:val="0"/>
          <w:bCs/>
          <w:sz w:val="30"/>
          <w:szCs w:val="30"/>
          <w:lang w:val="en-US" w:eastAsia="zh-CN"/>
        </w:rPr>
        <w:t>月~202</w:t>
      </w:r>
      <w:r>
        <w:rPr>
          <w:rFonts w:hint="eastAsia" w:ascii="Times New Roman" w:hAnsi="Times New Roman" w:eastAsia="仿宋_GB2312" w:cs="Times New Roman"/>
          <w:b w:val="0"/>
          <w:bCs/>
          <w:sz w:val="30"/>
          <w:szCs w:val="30"/>
          <w:lang w:val="en-US" w:eastAsia="zh-CN"/>
        </w:rPr>
        <w:t>6</w:t>
      </w:r>
      <w:r>
        <w:rPr>
          <w:rFonts w:hint="default" w:ascii="Times New Roman" w:hAnsi="Times New Roman" w:eastAsia="仿宋_GB2312" w:cs="Times New Roman"/>
          <w:b w:val="0"/>
          <w:bCs/>
          <w:sz w:val="30"/>
          <w:szCs w:val="30"/>
          <w:lang w:val="en-US" w:eastAsia="zh-CN"/>
        </w:rPr>
        <w:t>年</w:t>
      </w:r>
      <w:r>
        <w:rPr>
          <w:rFonts w:hint="eastAsia" w:ascii="Times New Roman" w:hAnsi="Times New Roman" w:eastAsia="仿宋_GB2312" w:cs="Times New Roman"/>
          <w:b w:val="0"/>
          <w:bCs/>
          <w:sz w:val="30"/>
          <w:szCs w:val="30"/>
          <w:lang w:val="en-US" w:eastAsia="zh-CN"/>
        </w:rPr>
        <w:t>3</w:t>
      </w:r>
      <w:r>
        <w:rPr>
          <w:rFonts w:hint="default" w:ascii="Times New Roman" w:hAnsi="Times New Roman" w:eastAsia="仿宋_GB2312" w:cs="Times New Roman"/>
          <w:b w:val="0"/>
          <w:bCs/>
          <w:sz w:val="30"/>
          <w:szCs w:val="30"/>
          <w:lang w:val="en-US" w:eastAsia="zh-CN"/>
        </w:rPr>
        <w:t>月：任务下达后，省林科院组织成立了标准编制小组，编制小组主要起草人认真学习了标准制定有关文件资料并就标准编写的主要内容进行了深入、细致的讨论，广泛查阅相关文献资料，进行实地调查、走访林场了解实际生产中存在的问题及有关情况，广泛收集材料，为标准编写作准备。</w:t>
      </w:r>
    </w:p>
    <w:p w14:paraId="2D19BFA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编制小组以调查情况、收集的数据为依据，汇总近年来林场、科研院所在木荷大径材培育方面的研究成果及技术参数，结合广东省林业科技创新项目“优良乡土阔叶树种良种选育和高效栽培技术研究与示范”、“广东省林业科技创新项目-2018KJCX015-重要乡土阔叶树种精选育种群体构建与利用”、“广东省重点领域研发计划现代种业（岭南林及资源开发利用）重大专项-红锥、木荷等大径材乡土阔叶树种新品系定向选育研究”等重大项目研究进展，参考相关技术标准，形成初稿后，广泛征求生产单位、部分同行专家的意见，修改后形成征求意见讨论稿。</w:t>
      </w:r>
    </w:p>
    <w:p w14:paraId="1F99D89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楷体_GB2312" w:cs="Times New Roman"/>
          <w:b w:val="0"/>
          <w:bCs/>
          <w:sz w:val="30"/>
          <w:szCs w:val="30"/>
          <w:lang w:val="en-US" w:eastAsia="zh-CN"/>
        </w:rPr>
      </w:pPr>
      <w:r>
        <w:rPr>
          <w:rFonts w:hint="default" w:ascii="Times New Roman" w:hAnsi="Times New Roman" w:eastAsia="楷体_GB2312" w:cs="Times New Roman"/>
          <w:b w:val="0"/>
          <w:bCs/>
          <w:sz w:val="30"/>
          <w:szCs w:val="30"/>
          <w:lang w:val="en-US" w:eastAsia="zh-CN"/>
        </w:rPr>
        <w:t>4.征求意见阶段</w:t>
      </w:r>
    </w:p>
    <w:p w14:paraId="0798C8F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202</w:t>
      </w:r>
      <w:r>
        <w:rPr>
          <w:rFonts w:hint="eastAsia" w:ascii="Times New Roman" w:hAnsi="Times New Roman" w:eastAsia="仿宋_GB2312" w:cs="Times New Roman"/>
          <w:b w:val="0"/>
          <w:bCs/>
          <w:sz w:val="30"/>
          <w:szCs w:val="30"/>
          <w:lang w:val="en-US" w:eastAsia="zh-CN"/>
        </w:rPr>
        <w:t>6</w:t>
      </w:r>
      <w:r>
        <w:rPr>
          <w:rFonts w:hint="default" w:ascii="Times New Roman" w:hAnsi="Times New Roman" w:eastAsia="仿宋_GB2312" w:cs="Times New Roman"/>
          <w:b w:val="0"/>
          <w:bCs/>
          <w:sz w:val="30"/>
          <w:szCs w:val="30"/>
          <w:lang w:val="en-US" w:eastAsia="zh-CN"/>
        </w:rPr>
        <w:t>年</w:t>
      </w:r>
      <w:r>
        <w:rPr>
          <w:rFonts w:hint="eastAsia" w:ascii="Times New Roman" w:hAnsi="Times New Roman" w:eastAsia="仿宋_GB2312" w:cs="Times New Roman"/>
          <w:b w:val="0"/>
          <w:bCs/>
          <w:sz w:val="30"/>
          <w:szCs w:val="30"/>
          <w:lang w:val="en-US" w:eastAsia="zh-CN"/>
        </w:rPr>
        <w:t>4</w:t>
      </w:r>
      <w:r>
        <w:rPr>
          <w:rFonts w:hint="default" w:ascii="Times New Roman" w:hAnsi="Times New Roman" w:eastAsia="仿宋_GB2312" w:cs="Times New Roman"/>
          <w:b w:val="0"/>
          <w:bCs/>
          <w:sz w:val="30"/>
          <w:szCs w:val="30"/>
          <w:lang w:val="en-US" w:eastAsia="zh-CN"/>
        </w:rPr>
        <w:t>~</w:t>
      </w:r>
      <w:r>
        <w:rPr>
          <w:rFonts w:hint="eastAsia" w:eastAsia="仿宋_GB2312" w:cs="Times New Roman"/>
          <w:b w:val="0"/>
          <w:bCs/>
          <w:sz w:val="30"/>
          <w:szCs w:val="30"/>
          <w:lang w:val="en-US" w:eastAsia="zh-CN"/>
        </w:rPr>
        <w:t>9</w:t>
      </w:r>
      <w:r>
        <w:rPr>
          <w:rFonts w:hint="default" w:ascii="Times New Roman" w:hAnsi="Times New Roman" w:eastAsia="仿宋_GB2312" w:cs="Times New Roman"/>
          <w:b w:val="0"/>
          <w:bCs/>
          <w:sz w:val="30"/>
          <w:szCs w:val="30"/>
          <w:lang w:val="en-US" w:eastAsia="zh-CN"/>
        </w:rPr>
        <w:t>月：</w:t>
      </w:r>
      <w:r>
        <w:rPr>
          <w:rFonts w:hint="eastAsia" w:ascii="Times New Roman" w:hAnsi="Times New Roman" w:eastAsia="仿宋_GB2312" w:cs="Times New Roman"/>
          <w:b w:val="0"/>
          <w:bCs/>
          <w:sz w:val="30"/>
          <w:szCs w:val="30"/>
          <w:lang w:val="en-US" w:eastAsia="zh-CN"/>
        </w:rPr>
        <w:t>拟</w:t>
      </w:r>
      <w:r>
        <w:rPr>
          <w:rFonts w:hint="default" w:ascii="Times New Roman" w:hAnsi="Times New Roman" w:eastAsia="仿宋_GB2312" w:cs="Times New Roman"/>
          <w:b w:val="0"/>
          <w:bCs/>
          <w:sz w:val="30"/>
          <w:szCs w:val="30"/>
          <w:lang w:val="en-US" w:eastAsia="zh-CN"/>
        </w:rPr>
        <w:t>通过标准化行政主管部门、行业行政主管部门通过网络公开等方式征集意见建议情况：</w:t>
      </w:r>
    </w:p>
    <w:p w14:paraId="26EBF6D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楷体_GB2312" w:cs="Times New Roman"/>
          <w:b w:val="0"/>
          <w:bCs/>
          <w:sz w:val="30"/>
          <w:szCs w:val="30"/>
          <w:lang w:val="en-US" w:eastAsia="zh-CN"/>
        </w:rPr>
      </w:pPr>
      <w:r>
        <w:rPr>
          <w:rFonts w:hint="default" w:ascii="Times New Roman" w:hAnsi="Times New Roman" w:eastAsia="楷体_GB2312" w:cs="Times New Roman"/>
          <w:b w:val="0"/>
          <w:bCs/>
          <w:sz w:val="30"/>
          <w:szCs w:val="30"/>
          <w:lang w:val="en-US" w:eastAsia="zh-CN"/>
        </w:rPr>
        <w:t>5、送审阶段</w:t>
      </w:r>
    </w:p>
    <w:p w14:paraId="58F986D7">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202</w:t>
      </w:r>
      <w:r>
        <w:rPr>
          <w:rFonts w:hint="eastAsia" w:ascii="Times New Roman" w:hAnsi="Times New Roman" w:eastAsia="仿宋_GB2312" w:cs="Times New Roman"/>
          <w:b w:val="0"/>
          <w:bCs/>
          <w:sz w:val="30"/>
          <w:szCs w:val="30"/>
          <w:lang w:val="en-US" w:eastAsia="zh-CN"/>
        </w:rPr>
        <w:t>6</w:t>
      </w:r>
      <w:r>
        <w:rPr>
          <w:rFonts w:hint="default" w:ascii="Times New Roman" w:hAnsi="Times New Roman" w:eastAsia="仿宋_GB2312" w:cs="Times New Roman"/>
          <w:b w:val="0"/>
          <w:bCs/>
          <w:sz w:val="30"/>
          <w:szCs w:val="30"/>
          <w:lang w:val="en-US" w:eastAsia="zh-CN"/>
        </w:rPr>
        <w:t>年</w:t>
      </w:r>
      <w:r>
        <w:rPr>
          <w:rFonts w:hint="eastAsia" w:eastAsia="仿宋_GB2312" w:cs="Times New Roman"/>
          <w:b w:val="0"/>
          <w:bCs/>
          <w:sz w:val="30"/>
          <w:szCs w:val="30"/>
          <w:lang w:val="en-US" w:eastAsia="zh-CN"/>
        </w:rPr>
        <w:t>10</w:t>
      </w:r>
      <w:r>
        <w:rPr>
          <w:rFonts w:hint="default" w:ascii="Times New Roman" w:hAnsi="Times New Roman" w:eastAsia="仿宋_GB2312" w:cs="Times New Roman"/>
          <w:b w:val="0"/>
          <w:bCs/>
          <w:sz w:val="30"/>
          <w:szCs w:val="30"/>
          <w:lang w:val="en-US" w:eastAsia="zh-CN"/>
        </w:rPr>
        <w:t>~</w:t>
      </w:r>
      <w:r>
        <w:rPr>
          <w:rFonts w:hint="eastAsia" w:eastAsia="仿宋_GB2312" w:cs="Times New Roman"/>
          <w:b w:val="0"/>
          <w:bCs/>
          <w:sz w:val="30"/>
          <w:szCs w:val="30"/>
          <w:lang w:val="en-US" w:eastAsia="zh-CN"/>
        </w:rPr>
        <w:t>12</w:t>
      </w:r>
      <w:r>
        <w:rPr>
          <w:rFonts w:hint="default" w:ascii="Times New Roman" w:hAnsi="Times New Roman" w:eastAsia="仿宋_GB2312" w:cs="Times New Roman"/>
          <w:b w:val="0"/>
          <w:bCs/>
          <w:sz w:val="30"/>
          <w:szCs w:val="30"/>
          <w:lang w:val="en-US" w:eastAsia="zh-CN"/>
        </w:rPr>
        <w:t>月：项目组</w:t>
      </w:r>
      <w:r>
        <w:rPr>
          <w:rFonts w:hint="eastAsia" w:ascii="Times New Roman" w:hAnsi="Times New Roman" w:eastAsia="仿宋_GB2312" w:cs="Times New Roman"/>
          <w:b w:val="0"/>
          <w:bCs/>
          <w:sz w:val="30"/>
          <w:szCs w:val="30"/>
          <w:lang w:val="en-US" w:eastAsia="zh-CN"/>
        </w:rPr>
        <w:t>拟对</w:t>
      </w:r>
      <w:r>
        <w:rPr>
          <w:rFonts w:hint="default" w:ascii="Times New Roman" w:hAnsi="Times New Roman" w:eastAsia="仿宋_GB2312" w:cs="Times New Roman"/>
          <w:b w:val="0"/>
          <w:bCs/>
          <w:sz w:val="30"/>
          <w:szCs w:val="30"/>
          <w:lang w:val="en-US" w:eastAsia="zh-CN"/>
        </w:rPr>
        <w:t>反馈的意见进行核实、复查和修改，形成标准送审稿，撰写标准编制说明，并向</w:t>
      </w:r>
      <w:r>
        <w:rPr>
          <w:rFonts w:hint="eastAsia" w:ascii="Times New Roman" w:hAnsi="Times New Roman" w:eastAsia="仿宋_GB2312" w:cs="Times New Roman"/>
          <w:b w:val="0"/>
          <w:bCs/>
          <w:sz w:val="30"/>
          <w:szCs w:val="30"/>
          <w:lang w:val="en-US" w:eastAsia="zh-CN"/>
        </w:rPr>
        <w:t>标委会</w:t>
      </w:r>
      <w:r>
        <w:rPr>
          <w:rFonts w:hint="default" w:ascii="Times New Roman" w:hAnsi="Times New Roman" w:eastAsia="仿宋_GB2312" w:cs="Times New Roman"/>
          <w:b w:val="0"/>
          <w:bCs/>
          <w:sz w:val="30"/>
          <w:szCs w:val="30"/>
          <w:lang w:val="en-US" w:eastAsia="zh-CN"/>
        </w:rPr>
        <w:t>提交标准送审稿。</w:t>
      </w:r>
    </w:p>
    <w:p w14:paraId="3932040F">
      <w:pPr>
        <w:numPr>
          <w:ilvl w:val="0"/>
          <w:numId w:val="0"/>
        </w:numPr>
        <w:adjustRightInd w:val="0"/>
        <w:snapToGrid w:val="0"/>
        <w:spacing w:line="600" w:lineRule="exact"/>
        <w:ind w:firstLine="600" w:firstLineChars="200"/>
        <w:jc w:val="both"/>
        <w:rPr>
          <w:rFonts w:hint="eastAsia" w:ascii="Times New Roman" w:hAnsi="Times New Roman" w:eastAsia="仿宋_GB2312" w:cs="Times New Roman"/>
          <w:b w:val="0"/>
          <w:bCs/>
          <w:sz w:val="30"/>
          <w:szCs w:val="30"/>
          <w:lang w:val="en-US" w:eastAsia="zh-CN"/>
        </w:rPr>
      </w:pPr>
      <w:r>
        <w:rPr>
          <w:rFonts w:hint="eastAsia" w:ascii="Times New Roman" w:hAnsi="Times New Roman" w:eastAsia="仿宋_GB2312" w:cs="Times New Roman"/>
          <w:b w:val="0"/>
          <w:bCs/>
          <w:sz w:val="30"/>
          <w:szCs w:val="30"/>
          <w:lang w:val="en-US" w:eastAsia="zh-CN"/>
        </w:rPr>
        <w:t>截至目前，发送“征求意见稿”单位数：58个</w:t>
      </w:r>
      <w:r>
        <w:rPr>
          <w:rFonts w:hint="eastAsia" w:eastAsia="仿宋_GB2312" w:cs="Times New Roman"/>
          <w:b w:val="0"/>
          <w:bCs/>
          <w:sz w:val="30"/>
          <w:szCs w:val="30"/>
          <w:lang w:val="en-US" w:eastAsia="zh-CN"/>
        </w:rPr>
        <w:t>；</w:t>
      </w:r>
      <w:r>
        <w:rPr>
          <w:rFonts w:hint="eastAsia" w:ascii="Times New Roman" w:hAnsi="Times New Roman" w:eastAsia="仿宋_GB2312" w:cs="Times New Roman"/>
          <w:b w:val="0"/>
          <w:bCs/>
          <w:sz w:val="30"/>
          <w:szCs w:val="30"/>
          <w:lang w:val="en-US" w:eastAsia="zh-CN"/>
        </w:rPr>
        <w:t>收到“征求意见稿”后，回函的单位数：39个，没有回函的单位数：19个</w:t>
      </w:r>
      <w:r>
        <w:rPr>
          <w:rFonts w:hint="eastAsia" w:eastAsia="仿宋_GB2312" w:cs="Times New Roman"/>
          <w:b w:val="0"/>
          <w:bCs/>
          <w:sz w:val="30"/>
          <w:szCs w:val="30"/>
          <w:lang w:val="en-US" w:eastAsia="zh-CN"/>
        </w:rPr>
        <w:t>；</w:t>
      </w:r>
      <w:r>
        <w:rPr>
          <w:rFonts w:hint="eastAsia" w:ascii="Times New Roman" w:hAnsi="Times New Roman" w:eastAsia="仿宋_GB2312" w:cs="Times New Roman"/>
          <w:b w:val="0"/>
          <w:bCs/>
          <w:sz w:val="30"/>
          <w:szCs w:val="30"/>
          <w:lang w:val="en-US" w:eastAsia="zh-CN"/>
        </w:rPr>
        <w:t>回函的单位中，有意见和建议的单位数：13个，无意见的单位数：26个</w:t>
      </w:r>
      <w:r>
        <w:rPr>
          <w:rFonts w:hint="eastAsia" w:eastAsia="仿宋_GB2312" w:cs="Times New Roman"/>
          <w:b w:val="0"/>
          <w:bCs/>
          <w:sz w:val="30"/>
          <w:szCs w:val="30"/>
          <w:lang w:val="en-US" w:eastAsia="zh-CN"/>
        </w:rPr>
        <w:t>；</w:t>
      </w:r>
      <w:r>
        <w:rPr>
          <w:rFonts w:hint="eastAsia" w:ascii="Times New Roman" w:hAnsi="Times New Roman" w:eastAsia="仿宋_GB2312" w:cs="Times New Roman"/>
          <w:b w:val="0"/>
          <w:bCs/>
          <w:sz w:val="30"/>
          <w:szCs w:val="30"/>
          <w:lang w:val="en-US" w:eastAsia="zh-CN"/>
        </w:rPr>
        <w:t>回函的建议或意见数：48条；其中采纳数：28条，部分采纳数：12条，不采纳数：8条。</w:t>
      </w:r>
    </w:p>
    <w:p w14:paraId="1CF58E7E">
      <w:pPr>
        <w:numPr>
          <w:ilvl w:val="0"/>
          <w:numId w:val="0"/>
        </w:numPr>
        <w:adjustRightInd w:val="0"/>
        <w:snapToGrid w:val="0"/>
        <w:spacing w:line="600" w:lineRule="exact"/>
        <w:ind w:firstLine="600" w:firstLineChars="200"/>
        <w:rPr>
          <w:rFonts w:hint="default" w:ascii="Times New Roman" w:hAnsi="Times New Roman" w:eastAsia="仿宋_GB2312" w:cs="Times New Roman"/>
          <w:bCs/>
          <w:sz w:val="30"/>
          <w:szCs w:val="30"/>
          <w:lang w:val="en-US" w:eastAsia="zh-CN"/>
        </w:rPr>
      </w:pPr>
      <w:r>
        <w:rPr>
          <w:rFonts w:hint="default" w:ascii="Times New Roman" w:hAnsi="Times New Roman" w:eastAsia="仿宋_GB2312" w:cs="Times New Roman"/>
          <w:bCs/>
          <w:sz w:val="30"/>
          <w:szCs w:val="30"/>
          <w:lang w:val="en-US" w:eastAsia="zh-CN"/>
        </w:rPr>
        <w:t>2026年10月，项目组将修改后文本报送省林业局征求各相关处室意见，共征求15各处室（单位）意见，共收到</w:t>
      </w:r>
      <w:r>
        <w:rPr>
          <w:rFonts w:hint="default" w:ascii="Times New Roman" w:hAnsi="Times New Roman" w:eastAsia="仿宋_GB2312" w:cs="Times New Roman"/>
          <w:bCs/>
          <w:sz w:val="30"/>
          <w:szCs w:val="30"/>
          <w:lang w:eastAsia="zh-CN"/>
        </w:rPr>
        <w:t>林场种苗处、</w:t>
      </w:r>
      <w:r>
        <w:rPr>
          <w:rFonts w:hint="default" w:ascii="Times New Roman" w:hAnsi="Times New Roman" w:eastAsia="仿宋_GB2312" w:cs="Times New Roman"/>
          <w:bCs/>
          <w:sz w:val="30"/>
          <w:szCs w:val="30"/>
          <w:lang w:val="en-US" w:eastAsia="zh-CN"/>
        </w:rPr>
        <w:t>保育中心、保育中心等3家单位13条意见，其中采纳11条，部分采纳1条，不采纳1条。</w:t>
      </w:r>
    </w:p>
    <w:p w14:paraId="76258399">
      <w:pPr>
        <w:numPr>
          <w:ilvl w:val="0"/>
          <w:numId w:val="0"/>
        </w:numPr>
        <w:adjustRightInd w:val="0"/>
        <w:snapToGrid w:val="0"/>
        <w:spacing w:line="600" w:lineRule="exact"/>
        <w:ind w:firstLine="600" w:firstLineChars="200"/>
        <w:jc w:val="both"/>
        <w:rPr>
          <w:rFonts w:hint="eastAsia" w:eastAsia="黑体"/>
          <w:b w:val="0"/>
          <w:bCs/>
          <w:sz w:val="30"/>
          <w:szCs w:val="30"/>
        </w:rPr>
      </w:pPr>
      <w:r>
        <w:rPr>
          <w:rFonts w:hint="default" w:ascii="Times New Roman" w:hAnsi="Times New Roman" w:eastAsia="仿宋_GB2312" w:cs="Times New Roman"/>
          <w:b w:val="0"/>
          <w:bCs/>
          <w:sz w:val="30"/>
          <w:szCs w:val="30"/>
          <w:lang w:val="en-US" w:eastAsia="zh-CN"/>
        </w:rPr>
        <w:t>本标准在</w:t>
      </w:r>
      <w:r>
        <w:rPr>
          <w:rFonts w:hint="eastAsia" w:ascii="Times New Roman" w:hAnsi="Times New Roman" w:eastAsia="仿宋_GB2312" w:cs="Times New Roman"/>
          <w:b w:val="0"/>
          <w:bCs/>
          <w:sz w:val="30"/>
          <w:szCs w:val="30"/>
          <w:lang w:val="en-US" w:eastAsia="zh-CN"/>
        </w:rPr>
        <w:t>编制</w:t>
      </w:r>
      <w:r>
        <w:rPr>
          <w:rFonts w:hint="default" w:ascii="Times New Roman" w:hAnsi="Times New Roman" w:eastAsia="仿宋_GB2312" w:cs="Times New Roman"/>
          <w:b w:val="0"/>
          <w:bCs/>
          <w:sz w:val="30"/>
          <w:szCs w:val="30"/>
          <w:lang w:val="en-US" w:eastAsia="zh-CN"/>
        </w:rPr>
        <w:t>过程中无重大分歧。</w:t>
      </w:r>
    </w:p>
    <w:p w14:paraId="67ED91FD">
      <w:pPr>
        <w:numPr>
          <w:ilvl w:val="0"/>
          <w:numId w:val="0"/>
        </w:numPr>
        <w:adjustRightInd w:val="0"/>
        <w:snapToGrid w:val="0"/>
        <w:spacing w:line="360" w:lineRule="auto"/>
        <w:ind w:leftChars="0"/>
        <w:jc w:val="both"/>
        <w:rPr>
          <w:rFonts w:hint="eastAsia" w:eastAsia="黑体"/>
          <w:b w:val="0"/>
          <w:bCs/>
          <w:sz w:val="30"/>
          <w:szCs w:val="30"/>
        </w:rPr>
      </w:pPr>
      <w:r>
        <w:rPr>
          <w:rFonts w:hint="eastAsia" w:eastAsia="黑体"/>
          <w:b w:val="0"/>
          <w:bCs/>
          <w:sz w:val="30"/>
          <w:szCs w:val="30"/>
          <w:lang w:val="en-US" w:eastAsia="zh-CN"/>
        </w:rPr>
        <w:t>七、</w:t>
      </w:r>
      <w:r>
        <w:rPr>
          <w:rFonts w:hint="eastAsia" w:eastAsia="黑体"/>
          <w:b w:val="0"/>
          <w:bCs/>
          <w:sz w:val="30"/>
          <w:szCs w:val="30"/>
        </w:rPr>
        <w:t>技术指标设置的科学性和可行性。量化指标的确定依据。</w:t>
      </w:r>
    </w:p>
    <w:p w14:paraId="0386364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rPr>
      </w:pPr>
      <w:r>
        <w:rPr>
          <w:rFonts w:hint="default" w:ascii="Times New Roman" w:hAnsi="Times New Roman" w:eastAsia="仿宋_GB2312" w:cs="Times New Roman"/>
          <w:b w:val="0"/>
          <w:bCs/>
          <w:sz w:val="30"/>
          <w:szCs w:val="30"/>
        </w:rPr>
        <w:t>广东省林业科学研究院自2001年承担省科技攻关项目“优质大径级乡土阔叶树种良种选育及栽培技术研究”起开始关注木荷这一树种，开始了木荷良种选育和栽培技术研究，</w:t>
      </w:r>
      <w:r>
        <w:rPr>
          <w:rFonts w:hint="default" w:ascii="Times New Roman" w:hAnsi="Times New Roman" w:eastAsia="仿宋_GB2312" w:cs="Times New Roman"/>
          <w:b w:val="0"/>
          <w:bCs/>
          <w:sz w:val="30"/>
          <w:szCs w:val="30"/>
          <w:lang w:val="en-US" w:eastAsia="zh-CN"/>
        </w:rPr>
        <w:t>先后实施了</w:t>
      </w:r>
      <w:r>
        <w:rPr>
          <w:rFonts w:hint="default" w:ascii="Times New Roman" w:hAnsi="Times New Roman" w:eastAsia="仿宋_GB2312" w:cs="Times New Roman"/>
          <w:b w:val="0"/>
          <w:bCs/>
          <w:sz w:val="30"/>
          <w:szCs w:val="30"/>
        </w:rPr>
        <w:t>包括国家林业局重点项目“南方重要乡土阔叶树种良种选育与区域试验”</w:t>
      </w:r>
      <w:r>
        <w:rPr>
          <w:rFonts w:hint="default" w:ascii="Times New Roman" w:hAnsi="Times New Roman" w:eastAsia="仿宋_GB2312" w:cs="Times New Roman"/>
          <w:b w:val="0"/>
          <w:bCs/>
          <w:sz w:val="30"/>
          <w:szCs w:val="30"/>
          <w:lang w:eastAsia="zh-CN"/>
        </w:rPr>
        <w:t>，</w:t>
      </w:r>
      <w:r>
        <w:rPr>
          <w:rFonts w:hint="default" w:ascii="Times New Roman" w:hAnsi="Times New Roman" w:eastAsia="仿宋_GB2312" w:cs="Times New Roman"/>
          <w:b w:val="0"/>
          <w:bCs/>
          <w:sz w:val="30"/>
          <w:szCs w:val="30"/>
        </w:rPr>
        <w:t>广东省科技厅重点攻关课题“乡土阔叶树培育技术研究”，广东省林业科技项目“广东省重要乡土阔叶树种遗传改良研究”、广东省重点领域研发计划项目“红锥、木荷等大径材乡土阔叶树种新品系定向选育研究”等</w:t>
      </w:r>
      <w:r>
        <w:rPr>
          <w:rFonts w:hint="default" w:ascii="Times New Roman" w:hAnsi="Times New Roman" w:eastAsia="仿宋_GB2312" w:cs="Times New Roman"/>
          <w:b w:val="0"/>
          <w:bCs/>
          <w:sz w:val="30"/>
          <w:szCs w:val="30"/>
          <w:lang w:val="en-US" w:eastAsia="zh-CN"/>
        </w:rPr>
        <w:t>一系列</w:t>
      </w:r>
      <w:r>
        <w:rPr>
          <w:rFonts w:hint="default" w:ascii="Times New Roman" w:hAnsi="Times New Roman" w:eastAsia="仿宋_GB2312" w:cs="Times New Roman"/>
          <w:b w:val="0"/>
          <w:bCs/>
          <w:sz w:val="30"/>
          <w:szCs w:val="30"/>
        </w:rPr>
        <w:t>科研</w:t>
      </w:r>
      <w:r>
        <w:rPr>
          <w:rFonts w:hint="default" w:ascii="Times New Roman" w:hAnsi="Times New Roman" w:eastAsia="仿宋_GB2312" w:cs="Times New Roman"/>
          <w:b w:val="0"/>
          <w:bCs/>
          <w:sz w:val="30"/>
          <w:szCs w:val="30"/>
          <w:lang w:val="en-US" w:eastAsia="zh-CN"/>
        </w:rPr>
        <w:t>项目，目</w:t>
      </w:r>
      <w:r>
        <w:rPr>
          <w:rFonts w:hint="default" w:ascii="Times New Roman" w:hAnsi="Times New Roman" w:eastAsia="仿宋_GB2312" w:cs="Times New Roman"/>
          <w:b w:val="0"/>
          <w:bCs/>
          <w:sz w:val="30"/>
          <w:szCs w:val="30"/>
        </w:rPr>
        <w:t>前已获得一些初步成果，作为本标准制定的技术基础。</w:t>
      </w:r>
    </w:p>
    <w:p w14:paraId="185C513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①</w:t>
      </w:r>
      <w:r>
        <w:rPr>
          <w:rFonts w:hint="default" w:ascii="Times New Roman" w:hAnsi="Times New Roman" w:eastAsia="仿宋_GB2312" w:cs="Times New Roman"/>
          <w:sz w:val="30"/>
          <w:szCs w:val="30"/>
          <w:lang w:eastAsia="zh-CN"/>
        </w:rPr>
        <w:t>采种母株的确定</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lang w:val="en-US" w:eastAsia="zh-CN"/>
        </w:rPr>
        <w:t>广东省林业科学研究院收集省内优树，其中25a以上木荷胸径平均值达到25 cm，且平均年生长量大于1，并于2005年利用优树种子培育的苗木，在广东省东江林场等多地营建了优树半同胞家系子代测定试验林，并以当地普通生产种为对照（CK）。试验林水平带状整地，穴规格为50 cm×50 cm×40 cm，株行距为2.5 m×3.0 m，种植密度为1 600株/hm</w:t>
      </w:r>
      <w:r>
        <w:rPr>
          <w:rFonts w:hint="default" w:ascii="Times New Roman" w:hAnsi="Times New Roman" w:eastAsia="仿宋_GB2312" w:cs="Times New Roman"/>
          <w:sz w:val="30"/>
          <w:szCs w:val="30"/>
          <w:vertAlign w:val="superscript"/>
          <w:lang w:val="en-US" w:eastAsia="zh-CN"/>
        </w:rPr>
        <w:t>2</w:t>
      </w:r>
      <w:r>
        <w:rPr>
          <w:rFonts w:hint="default" w:ascii="Times New Roman" w:hAnsi="Times New Roman" w:eastAsia="仿宋_GB2312" w:cs="Times New Roman"/>
          <w:sz w:val="30"/>
          <w:szCs w:val="30"/>
          <w:lang w:val="en-US" w:eastAsia="zh-CN"/>
        </w:rPr>
        <w:t>。试验设计采用完全随机区组种植，162个参试家系，8个重复，4株小区，每个家系32株，3个地点共计96株。子代性状保持良好，其中广东25a以上优势木子代胸径平均年生长量超过1，因此</w:t>
      </w:r>
      <w:r>
        <w:rPr>
          <w:rFonts w:hint="default" w:ascii="Times New Roman" w:hAnsi="Times New Roman" w:eastAsia="仿宋_GB2312" w:cs="Times New Roman"/>
          <w:sz w:val="30"/>
          <w:szCs w:val="30"/>
        </w:rPr>
        <w:t>选</w:t>
      </w:r>
      <w:r>
        <w:rPr>
          <w:rFonts w:hint="default" w:ascii="Times New Roman" w:hAnsi="Times New Roman" w:eastAsia="仿宋_GB2312" w:cs="Times New Roman"/>
          <w:sz w:val="30"/>
          <w:szCs w:val="30"/>
          <w:lang w:eastAsia="zh-CN"/>
        </w:rPr>
        <w:t>可选</w:t>
      </w:r>
      <w:r>
        <w:rPr>
          <w:rFonts w:hint="default" w:ascii="Times New Roman" w:hAnsi="Times New Roman" w:eastAsia="仿宋_GB2312" w:cs="Times New Roman"/>
          <w:sz w:val="30"/>
          <w:szCs w:val="30"/>
        </w:rPr>
        <w:t>择生长健壮的木荷实生种子园和无性系种子园中的采种母树，以及天然林或种源清晰的25 a生以上良种人工林改建成的母树林母株</w:t>
      </w:r>
      <w:r>
        <w:rPr>
          <w:rFonts w:hint="default" w:ascii="Times New Roman" w:hAnsi="Times New Roman" w:eastAsia="仿宋_GB2312" w:cs="Times New Roman"/>
          <w:sz w:val="30"/>
          <w:szCs w:val="30"/>
          <w:lang w:eastAsia="zh-CN"/>
        </w:rPr>
        <w:t>。</w:t>
      </w:r>
    </w:p>
    <w:p w14:paraId="138993C8">
      <w:pPr>
        <w:keepNext w:val="0"/>
        <w:keepLines w:val="0"/>
        <w:pageBreakBefore w:val="0"/>
        <w:widowControl w:val="0"/>
        <w:kinsoku/>
        <w:wordWrap/>
        <w:overflowPunct/>
        <w:topLinePunct w:val="0"/>
        <w:bidi w:val="0"/>
        <w:spacing w:after="78" w:afterLines="25" w:line="600" w:lineRule="exact"/>
        <w:ind w:firstLine="600" w:firstLineChars="200"/>
        <w:textAlignment w:val="auto"/>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rPr>
        <w:t>②</w:t>
      </w:r>
      <w:r>
        <w:rPr>
          <w:rFonts w:hint="default" w:ascii="Times New Roman" w:hAnsi="Times New Roman" w:eastAsia="仿宋_GB2312" w:cs="Times New Roman"/>
          <w:sz w:val="30"/>
          <w:szCs w:val="30"/>
          <w:lang w:eastAsia="zh-CN"/>
        </w:rPr>
        <w:t>抚育管理指标的确定。</w:t>
      </w:r>
      <w:r>
        <w:rPr>
          <w:rFonts w:hint="default" w:ascii="Times New Roman" w:hAnsi="Times New Roman" w:eastAsia="仿宋_GB2312" w:cs="Times New Roman"/>
          <w:sz w:val="30"/>
          <w:szCs w:val="30"/>
        </w:rPr>
        <w:t>王瑞辉开展木荷育苗技术研究，采用不同的施肥种类和不同的播种方法进行对比试验，发现增钾肥</w:t>
      </w:r>
      <w:r>
        <w:rPr>
          <w:rFonts w:hint="default" w:ascii="Times New Roman" w:hAnsi="Times New Roman" w:eastAsia="仿宋_GB2312" w:cs="Times New Roman"/>
          <w:sz w:val="30"/>
          <w:szCs w:val="30"/>
          <w:lang w:eastAsia="zh-CN"/>
        </w:rPr>
        <w:t>等</w:t>
      </w:r>
      <w:r>
        <w:rPr>
          <w:rFonts w:hint="default" w:ascii="Times New Roman" w:hAnsi="Times New Roman" w:eastAsia="仿宋_GB2312" w:cs="Times New Roman"/>
          <w:sz w:val="30"/>
          <w:szCs w:val="30"/>
        </w:rPr>
        <w:t>能显著提高木荷苗木质量，而播种方法对苗木的根系生长和产苗量都有显著影响。通过试验，总结出一套木荷的丰产优质育苗技术</w:t>
      </w:r>
      <w:r>
        <w:rPr>
          <w:rFonts w:hint="default" w:ascii="Times New Roman" w:hAnsi="Times New Roman" w:eastAsia="仿宋_GB2312" w:cs="Times New Roman"/>
          <w:sz w:val="30"/>
          <w:szCs w:val="30"/>
          <w:lang w:eastAsia="zh-CN"/>
        </w:rPr>
        <w:t>，结合广东生产实际和森林质量精准提升技术指南相关要求，确定抚育施肥量。</w:t>
      </w:r>
    </w:p>
    <w:p w14:paraId="6465BBD9">
      <w:pPr>
        <w:keepNext w:val="0"/>
        <w:keepLines w:val="0"/>
        <w:pageBreakBefore w:val="0"/>
        <w:widowControl w:val="0"/>
        <w:kinsoku/>
        <w:wordWrap/>
        <w:overflowPunct/>
        <w:topLinePunct w:val="0"/>
        <w:autoSpaceDE w:val="0"/>
        <w:autoSpaceDN w:val="0"/>
        <w:bidi w:val="0"/>
        <w:adjustRightInd w:val="0"/>
        <w:spacing w:line="600" w:lineRule="exact"/>
        <w:ind w:firstLine="600" w:firstLineChars="200"/>
        <w:jc w:val="left"/>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③</w:t>
      </w:r>
      <w:r>
        <w:rPr>
          <w:rFonts w:hint="default" w:ascii="Times New Roman" w:hAnsi="Times New Roman" w:eastAsia="仿宋_GB2312" w:cs="Times New Roman"/>
          <w:sz w:val="30"/>
          <w:szCs w:val="30"/>
          <w:lang w:eastAsia="zh-CN"/>
        </w:rPr>
        <w:t>容器育苗指标确定</w:t>
      </w:r>
      <w:r>
        <w:rPr>
          <w:rFonts w:hint="default" w:ascii="Times New Roman" w:hAnsi="Times New Roman" w:eastAsia="仿宋_GB2312" w:cs="Times New Roman"/>
          <w:sz w:val="30"/>
          <w:szCs w:val="30"/>
        </w:rPr>
        <w:t>：</w:t>
      </w:r>
      <w:r>
        <w:rPr>
          <w:rFonts w:hint="default" w:ascii="Times New Roman" w:hAnsi="Times New Roman" w:eastAsia="仿宋_GB2312" w:cs="Times New Roman"/>
          <w:sz w:val="30"/>
          <w:szCs w:val="30"/>
          <w:lang w:val="en-US" w:eastAsia="zh-CN"/>
        </w:rPr>
        <w:t>何波祥、</w:t>
      </w:r>
      <w:r>
        <w:rPr>
          <w:rFonts w:hint="default" w:ascii="Times New Roman" w:hAnsi="Times New Roman" w:eastAsia="仿宋_GB2312" w:cs="Times New Roman"/>
          <w:sz w:val="30"/>
          <w:szCs w:val="30"/>
        </w:rPr>
        <w:t>刘伟等开展不同立地条件下木荷容器苗与裸根苗造林对比试验研究，结果表明，采用容器苗造林，木荷成活率高，生长量大，造林成本低，防护效果较好．在绿化造林中值得推广。</w:t>
      </w:r>
    </w:p>
    <w:p w14:paraId="4CD9C7B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sz w:val="30"/>
          <w:szCs w:val="30"/>
        </w:rPr>
        <w:t>④</w:t>
      </w:r>
      <w:r>
        <w:rPr>
          <w:rFonts w:hint="default" w:ascii="Times New Roman" w:hAnsi="Times New Roman" w:eastAsia="仿宋_GB2312" w:cs="Times New Roman"/>
          <w:sz w:val="30"/>
          <w:szCs w:val="30"/>
          <w:lang w:eastAsia="zh-CN"/>
        </w:rPr>
        <w:t>种植密度的确定</w:t>
      </w:r>
      <w:r>
        <w:rPr>
          <w:rFonts w:hint="default" w:ascii="Times New Roman" w:hAnsi="Times New Roman" w:eastAsia="仿宋_GB2312" w:cs="Times New Roman"/>
          <w:sz w:val="30"/>
          <w:szCs w:val="30"/>
        </w:rPr>
        <w:t>：朱爱光等对造林技术进行了试验和总结研究</w:t>
      </w:r>
      <w:r>
        <w:rPr>
          <w:rFonts w:hint="default" w:ascii="Times New Roman" w:hAnsi="Times New Roman" w:eastAsia="仿宋_GB2312" w:cs="Times New Roman"/>
          <w:sz w:val="30"/>
          <w:szCs w:val="30"/>
          <w:lang w:eastAsia="zh-CN"/>
        </w:rPr>
        <w:t>，对造林技术规范的制定提供了宝贵经验</w:t>
      </w:r>
      <w:r>
        <w:rPr>
          <w:rFonts w:hint="default" w:ascii="Times New Roman" w:hAnsi="Times New Roman" w:eastAsia="仿宋_GB2312" w:cs="Times New Roman"/>
          <w:sz w:val="30"/>
          <w:szCs w:val="30"/>
        </w:rPr>
        <w:t>。</w:t>
      </w:r>
      <w:r>
        <w:rPr>
          <w:rFonts w:hint="default" w:ascii="Times New Roman" w:hAnsi="Times New Roman" w:eastAsia="仿宋_GB2312" w:cs="Times New Roman"/>
          <w:b w:val="0"/>
          <w:bCs/>
          <w:sz w:val="30"/>
          <w:szCs w:val="30"/>
          <w:lang w:eastAsia="zh-CN"/>
        </w:rPr>
        <w:t>陈圣涛等对木荷种植密度进行研究，结果表明：随着种植密度增大，木荷胸径生长量有显著差异，其中</w:t>
      </w:r>
      <w:r>
        <w:rPr>
          <w:rFonts w:hint="default" w:ascii="Times New Roman" w:hAnsi="Times New Roman" w:eastAsia="仿宋_GB2312" w:cs="Times New Roman"/>
          <w:b w:val="0"/>
          <w:bCs/>
          <w:sz w:val="30"/>
          <w:szCs w:val="30"/>
          <w:lang w:val="en-US" w:eastAsia="zh-CN"/>
        </w:rPr>
        <w:t>900株/</w:t>
      </w:r>
      <w:r>
        <w:rPr>
          <w:rFonts w:hint="default" w:ascii="Times New Roman" w:hAnsi="Times New Roman" w:eastAsia="仿宋_GB2312" w:cs="Times New Roman"/>
          <w:b w:val="0"/>
          <w:bCs/>
          <w:sz w:val="30"/>
          <w:szCs w:val="30"/>
          <w:lang w:eastAsia="zh-CN"/>
        </w:rPr>
        <w:t>公顷</w:t>
      </w:r>
      <w:r>
        <w:rPr>
          <w:rFonts w:hint="default" w:ascii="Times New Roman" w:hAnsi="Times New Roman" w:eastAsia="仿宋_GB2312" w:cs="Times New Roman"/>
          <w:b w:val="0"/>
          <w:bCs/>
          <w:sz w:val="30"/>
          <w:szCs w:val="30"/>
          <w:lang w:val="en-US" w:eastAsia="zh-CN"/>
        </w:rPr>
        <w:t>（60株/亩）的木荷胸径是1800株(120株/亩)的1.4倍，根据不同立地条件和木荷行标，确定木荷种植密度在74-111株/亩，符合生产需求。</w:t>
      </w:r>
    </w:p>
    <w:p w14:paraId="4D51AB9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2" w:firstLineChars="200"/>
        <w:jc w:val="right"/>
        <w:textAlignment w:val="auto"/>
        <w:rPr>
          <w:rFonts w:hint="default" w:ascii="Times New Roman" w:hAnsi="Times New Roman" w:eastAsia="仿宋_GB2312" w:cs="Times New Roman"/>
          <w:b/>
          <w:bCs w:val="0"/>
          <w:sz w:val="30"/>
          <w:szCs w:val="30"/>
          <w:lang w:val="en-US" w:eastAsia="zh-CN"/>
        </w:rPr>
      </w:pPr>
      <w:r>
        <w:rPr>
          <w:rFonts w:hint="default" w:ascii="Times New Roman" w:hAnsi="Times New Roman" w:eastAsia="仿宋_GB2312" w:cs="Times New Roman"/>
          <w:b/>
          <w:bCs w:val="0"/>
          <w:sz w:val="30"/>
          <w:szCs w:val="30"/>
          <w:lang w:eastAsia="zh-CN"/>
        </w:rPr>
        <w:t>表</w:t>
      </w:r>
      <w:r>
        <w:rPr>
          <w:rFonts w:hint="default" w:ascii="Times New Roman" w:hAnsi="Times New Roman" w:eastAsia="仿宋_GB2312" w:cs="Times New Roman"/>
          <w:b/>
          <w:bCs w:val="0"/>
          <w:sz w:val="30"/>
          <w:szCs w:val="30"/>
          <w:lang w:val="en-US" w:eastAsia="zh-CN"/>
        </w:rPr>
        <w:t>1 不同密度23年生木荷胸径生长情况     单位：cm</w:t>
      </w:r>
    </w:p>
    <w:tbl>
      <w:tblPr>
        <w:tblStyle w:val="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4"/>
        <w:gridCol w:w="1074"/>
        <w:gridCol w:w="1074"/>
        <w:gridCol w:w="1074"/>
        <w:gridCol w:w="1074"/>
        <w:gridCol w:w="1149"/>
      </w:tblGrid>
      <w:tr w14:paraId="7020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285618BF">
            <w:pPr>
              <w:snapToGrid w:val="0"/>
              <w:ind w:left="0" w:leftChars="0" w:right="0" w:rightChars="0" w:firstLine="0" w:firstLineChars="0"/>
              <w:jc w:val="center"/>
              <w:rPr>
                <w:rFonts w:hint="default" w:ascii="Times New Roman" w:hAnsi="Times New Roman" w:eastAsia="仿宋_GB2312" w:cs="Times New Roman"/>
                <w:b/>
                <w:sz w:val="24"/>
                <w:szCs w:val="24"/>
                <w:highlight w:val="none"/>
                <w:lang w:val="en-US" w:eastAsia="zh-CN"/>
              </w:rPr>
            </w:pPr>
            <w:r>
              <w:rPr>
                <w:rFonts w:hint="default" w:ascii="Times New Roman" w:hAnsi="Times New Roman" w:eastAsia="仿宋_GB2312" w:cs="Times New Roman"/>
                <w:b/>
                <w:sz w:val="24"/>
                <w:szCs w:val="24"/>
                <w:highlight w:val="none"/>
                <w:lang w:val="en-US" w:eastAsia="zh-CN"/>
              </w:rPr>
              <w:t>处理/重复</w:t>
            </w:r>
          </w:p>
        </w:tc>
        <w:tc>
          <w:tcPr>
            <w:tcW w:w="0" w:type="auto"/>
            <w:vAlign w:val="center"/>
          </w:tcPr>
          <w:p w14:paraId="03944B1D">
            <w:pPr>
              <w:snapToGrid w:val="0"/>
              <w:ind w:left="0" w:leftChars="0" w:right="0" w:rightChars="0" w:firstLine="0" w:firstLineChars="0"/>
              <w:jc w:val="center"/>
              <w:rPr>
                <w:rFonts w:hint="default" w:ascii="Times New Roman" w:hAnsi="Times New Roman" w:eastAsia="仿宋_GB2312" w:cs="Times New Roman"/>
                <w:b/>
                <w:sz w:val="24"/>
                <w:szCs w:val="24"/>
                <w:highlight w:val="none"/>
                <w:lang w:val="en-US" w:eastAsia="zh-CN"/>
              </w:rPr>
            </w:pPr>
            <w:r>
              <w:rPr>
                <w:rFonts w:hint="default" w:ascii="Times New Roman" w:hAnsi="Times New Roman" w:eastAsia="仿宋_GB2312" w:cs="Times New Roman"/>
                <w:b/>
                <w:sz w:val="24"/>
                <w:szCs w:val="24"/>
                <w:highlight w:val="none"/>
                <w:lang w:val="en-US" w:eastAsia="zh-CN"/>
              </w:rPr>
              <w:t>重复1</w:t>
            </w:r>
          </w:p>
        </w:tc>
        <w:tc>
          <w:tcPr>
            <w:tcW w:w="0" w:type="auto"/>
            <w:vAlign w:val="center"/>
          </w:tcPr>
          <w:p w14:paraId="25EDFA4F">
            <w:pPr>
              <w:snapToGrid w:val="0"/>
              <w:ind w:left="0" w:leftChars="0" w:right="0" w:rightChars="0" w:firstLine="0" w:firstLineChars="0"/>
              <w:jc w:val="center"/>
              <w:rPr>
                <w:rFonts w:hint="default" w:ascii="Times New Roman" w:hAnsi="Times New Roman" w:eastAsia="仿宋_GB2312" w:cs="Times New Roman"/>
                <w:b/>
                <w:sz w:val="24"/>
                <w:szCs w:val="24"/>
                <w:highlight w:val="none"/>
                <w:lang w:val="en-US" w:eastAsia="zh-CN"/>
              </w:rPr>
            </w:pPr>
            <w:r>
              <w:rPr>
                <w:rFonts w:hint="default" w:ascii="Times New Roman" w:hAnsi="Times New Roman" w:eastAsia="仿宋_GB2312" w:cs="Times New Roman"/>
                <w:b/>
                <w:sz w:val="24"/>
                <w:szCs w:val="24"/>
                <w:highlight w:val="none"/>
                <w:lang w:val="en-US" w:eastAsia="zh-CN"/>
              </w:rPr>
              <w:t>重复2</w:t>
            </w:r>
          </w:p>
        </w:tc>
        <w:tc>
          <w:tcPr>
            <w:tcW w:w="0" w:type="auto"/>
            <w:vAlign w:val="center"/>
          </w:tcPr>
          <w:p w14:paraId="4E1524D3">
            <w:pPr>
              <w:snapToGrid w:val="0"/>
              <w:ind w:left="0" w:leftChars="0" w:right="0" w:rightChars="0" w:firstLine="0" w:firstLineChars="0"/>
              <w:jc w:val="center"/>
              <w:rPr>
                <w:rFonts w:hint="default" w:ascii="Times New Roman" w:hAnsi="Times New Roman" w:eastAsia="仿宋_GB2312" w:cs="Times New Roman"/>
                <w:b/>
                <w:sz w:val="24"/>
                <w:szCs w:val="24"/>
                <w:highlight w:val="none"/>
                <w:lang w:val="en-US" w:eastAsia="zh-CN"/>
              </w:rPr>
            </w:pPr>
            <w:r>
              <w:rPr>
                <w:rFonts w:hint="default" w:ascii="Times New Roman" w:hAnsi="Times New Roman" w:eastAsia="仿宋_GB2312" w:cs="Times New Roman"/>
                <w:b/>
                <w:sz w:val="24"/>
                <w:szCs w:val="24"/>
                <w:highlight w:val="none"/>
                <w:lang w:val="en-US" w:eastAsia="zh-CN"/>
              </w:rPr>
              <w:t>重复3</w:t>
            </w:r>
          </w:p>
        </w:tc>
        <w:tc>
          <w:tcPr>
            <w:tcW w:w="0" w:type="auto"/>
            <w:vAlign w:val="center"/>
          </w:tcPr>
          <w:p w14:paraId="1E1D7DFE">
            <w:pPr>
              <w:snapToGrid w:val="0"/>
              <w:ind w:left="0" w:leftChars="0" w:right="0" w:rightChars="0" w:firstLine="0" w:firstLineChars="0"/>
              <w:jc w:val="center"/>
              <w:rPr>
                <w:rFonts w:hint="default" w:ascii="Times New Roman" w:hAnsi="Times New Roman" w:eastAsia="仿宋_GB2312" w:cs="Times New Roman"/>
                <w:b/>
                <w:sz w:val="24"/>
                <w:szCs w:val="24"/>
                <w:highlight w:val="none"/>
                <w:lang w:val="en-US" w:eastAsia="zh-CN"/>
              </w:rPr>
            </w:pPr>
            <w:r>
              <w:rPr>
                <w:rFonts w:hint="default" w:ascii="Times New Roman" w:hAnsi="Times New Roman" w:eastAsia="仿宋_GB2312" w:cs="Times New Roman"/>
                <w:b/>
                <w:sz w:val="24"/>
                <w:szCs w:val="24"/>
                <w:highlight w:val="none"/>
                <w:lang w:val="en-US" w:eastAsia="zh-CN"/>
              </w:rPr>
              <w:t>重复4</w:t>
            </w:r>
          </w:p>
        </w:tc>
        <w:tc>
          <w:tcPr>
            <w:tcW w:w="1149" w:type="dxa"/>
            <w:vAlign w:val="center"/>
          </w:tcPr>
          <w:p w14:paraId="68DAC77C">
            <w:pPr>
              <w:snapToGrid w:val="0"/>
              <w:ind w:left="0" w:leftChars="0" w:right="0" w:rightChars="0" w:firstLine="0" w:firstLineChars="0"/>
              <w:jc w:val="center"/>
              <w:rPr>
                <w:rFonts w:hint="default" w:ascii="Times New Roman" w:hAnsi="Times New Roman" w:eastAsia="仿宋_GB2312" w:cs="Times New Roman"/>
                <w:b/>
                <w:sz w:val="24"/>
                <w:szCs w:val="24"/>
                <w:highlight w:val="none"/>
                <w:lang w:val="en-US" w:eastAsia="zh-CN"/>
              </w:rPr>
            </w:pPr>
            <w:r>
              <w:rPr>
                <w:rFonts w:hint="default" w:ascii="Times New Roman" w:hAnsi="Times New Roman" w:eastAsia="仿宋_GB2312" w:cs="Times New Roman"/>
                <w:b/>
                <w:sz w:val="24"/>
                <w:szCs w:val="24"/>
                <w:highlight w:val="none"/>
                <w:lang w:val="en-US" w:eastAsia="zh-CN"/>
              </w:rPr>
              <w:t>平均值</w:t>
            </w:r>
          </w:p>
        </w:tc>
      </w:tr>
      <w:tr w14:paraId="33A6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2C5B5F0">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密（1800株/</w:t>
            </w:r>
            <w:r>
              <w:rPr>
                <w:rFonts w:hint="default" w:ascii="Times New Roman" w:hAnsi="Times New Roman" w:eastAsia="仿宋_GB2312" w:cs="Times New Roman"/>
                <w:b w:val="0"/>
                <w:bCs w:val="0"/>
                <w:sz w:val="24"/>
                <w:szCs w:val="24"/>
                <w:highlight w:val="none"/>
                <w:lang w:eastAsia="zh-CN"/>
              </w:rPr>
              <w:t>公顷</w:t>
            </w:r>
            <w:r>
              <w:rPr>
                <w:rFonts w:hint="default" w:ascii="Times New Roman" w:hAnsi="Times New Roman" w:eastAsia="仿宋_GB2312" w:cs="Times New Roman"/>
                <w:sz w:val="24"/>
                <w:szCs w:val="24"/>
                <w:highlight w:val="none"/>
                <w:lang w:val="en-US" w:eastAsia="zh-CN"/>
              </w:rPr>
              <w:t>）</w:t>
            </w:r>
          </w:p>
        </w:tc>
        <w:tc>
          <w:tcPr>
            <w:tcW w:w="0" w:type="auto"/>
            <w:vAlign w:val="center"/>
          </w:tcPr>
          <w:p w14:paraId="17733DED">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14.2</w:t>
            </w:r>
          </w:p>
        </w:tc>
        <w:tc>
          <w:tcPr>
            <w:tcW w:w="0" w:type="auto"/>
            <w:vAlign w:val="center"/>
          </w:tcPr>
          <w:p w14:paraId="07BF3D98">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13.8</w:t>
            </w:r>
          </w:p>
        </w:tc>
        <w:tc>
          <w:tcPr>
            <w:tcW w:w="0" w:type="auto"/>
            <w:vAlign w:val="center"/>
          </w:tcPr>
          <w:p w14:paraId="0D4584F2">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13.4</w:t>
            </w:r>
          </w:p>
        </w:tc>
        <w:tc>
          <w:tcPr>
            <w:tcW w:w="0" w:type="auto"/>
            <w:vAlign w:val="center"/>
          </w:tcPr>
          <w:p w14:paraId="47F66587">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14.6</w:t>
            </w:r>
          </w:p>
        </w:tc>
        <w:tc>
          <w:tcPr>
            <w:tcW w:w="1149" w:type="dxa"/>
            <w:vAlign w:val="center"/>
          </w:tcPr>
          <w:p w14:paraId="6339EF4E">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14.0</w:t>
            </w:r>
          </w:p>
        </w:tc>
      </w:tr>
      <w:tr w14:paraId="4283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3B72700">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较密（1500株/</w:t>
            </w:r>
            <w:r>
              <w:rPr>
                <w:rFonts w:hint="default" w:ascii="Times New Roman" w:hAnsi="Times New Roman" w:eastAsia="仿宋_GB2312" w:cs="Times New Roman"/>
                <w:b w:val="0"/>
                <w:bCs w:val="0"/>
                <w:sz w:val="24"/>
                <w:szCs w:val="24"/>
                <w:highlight w:val="none"/>
                <w:lang w:eastAsia="zh-CN"/>
              </w:rPr>
              <w:t>公顷</w:t>
            </w:r>
            <w:r>
              <w:rPr>
                <w:rFonts w:hint="default" w:ascii="Times New Roman" w:hAnsi="Times New Roman" w:eastAsia="仿宋_GB2312" w:cs="Times New Roman"/>
                <w:sz w:val="24"/>
                <w:szCs w:val="24"/>
                <w:highlight w:val="none"/>
                <w:lang w:val="en-US" w:eastAsia="zh-CN"/>
              </w:rPr>
              <w:t>）</w:t>
            </w:r>
          </w:p>
        </w:tc>
        <w:tc>
          <w:tcPr>
            <w:tcW w:w="0" w:type="auto"/>
            <w:vAlign w:val="center"/>
          </w:tcPr>
          <w:p w14:paraId="75EFF0A8">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16.3</w:t>
            </w:r>
          </w:p>
        </w:tc>
        <w:tc>
          <w:tcPr>
            <w:tcW w:w="0" w:type="auto"/>
            <w:vAlign w:val="center"/>
          </w:tcPr>
          <w:p w14:paraId="48005371">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15.2</w:t>
            </w:r>
          </w:p>
        </w:tc>
        <w:tc>
          <w:tcPr>
            <w:tcW w:w="0" w:type="auto"/>
            <w:vAlign w:val="center"/>
          </w:tcPr>
          <w:p w14:paraId="05F5422B">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16.5</w:t>
            </w:r>
          </w:p>
        </w:tc>
        <w:tc>
          <w:tcPr>
            <w:tcW w:w="0" w:type="auto"/>
            <w:vAlign w:val="center"/>
          </w:tcPr>
          <w:p w14:paraId="332661C2">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16.8</w:t>
            </w:r>
          </w:p>
        </w:tc>
        <w:tc>
          <w:tcPr>
            <w:tcW w:w="1149" w:type="dxa"/>
            <w:vAlign w:val="center"/>
          </w:tcPr>
          <w:p w14:paraId="78D83CB4">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16.2</w:t>
            </w:r>
          </w:p>
        </w:tc>
      </w:tr>
      <w:tr w14:paraId="040B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06B424A">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较稀（1200株/</w:t>
            </w:r>
            <w:r>
              <w:rPr>
                <w:rFonts w:hint="default" w:ascii="Times New Roman" w:hAnsi="Times New Roman" w:eastAsia="仿宋_GB2312" w:cs="Times New Roman"/>
                <w:b w:val="0"/>
                <w:bCs w:val="0"/>
                <w:sz w:val="24"/>
                <w:szCs w:val="24"/>
                <w:highlight w:val="none"/>
                <w:lang w:eastAsia="zh-CN"/>
              </w:rPr>
              <w:t>公顷</w:t>
            </w:r>
            <w:r>
              <w:rPr>
                <w:rFonts w:hint="default" w:ascii="Times New Roman" w:hAnsi="Times New Roman" w:eastAsia="仿宋_GB2312" w:cs="Times New Roman"/>
                <w:sz w:val="24"/>
                <w:szCs w:val="24"/>
                <w:highlight w:val="none"/>
                <w:lang w:val="en-US" w:eastAsia="zh-CN"/>
              </w:rPr>
              <w:t>）</w:t>
            </w:r>
          </w:p>
        </w:tc>
        <w:tc>
          <w:tcPr>
            <w:tcW w:w="0" w:type="auto"/>
            <w:vAlign w:val="center"/>
          </w:tcPr>
          <w:p w14:paraId="27CAEA12">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18.5</w:t>
            </w:r>
          </w:p>
        </w:tc>
        <w:tc>
          <w:tcPr>
            <w:tcW w:w="0" w:type="auto"/>
            <w:vAlign w:val="center"/>
          </w:tcPr>
          <w:p w14:paraId="7766464A">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18.0</w:t>
            </w:r>
          </w:p>
        </w:tc>
        <w:tc>
          <w:tcPr>
            <w:tcW w:w="0" w:type="auto"/>
            <w:vAlign w:val="center"/>
          </w:tcPr>
          <w:p w14:paraId="4F2735DE">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17.6</w:t>
            </w:r>
          </w:p>
        </w:tc>
        <w:tc>
          <w:tcPr>
            <w:tcW w:w="0" w:type="auto"/>
            <w:vAlign w:val="center"/>
          </w:tcPr>
          <w:p w14:paraId="639F1666">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19.1</w:t>
            </w:r>
          </w:p>
        </w:tc>
        <w:tc>
          <w:tcPr>
            <w:tcW w:w="1149" w:type="dxa"/>
            <w:vAlign w:val="center"/>
          </w:tcPr>
          <w:p w14:paraId="43670100">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18.3</w:t>
            </w:r>
          </w:p>
        </w:tc>
      </w:tr>
      <w:tr w14:paraId="5B0E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74" w:type="dxa"/>
            <w:vAlign w:val="center"/>
          </w:tcPr>
          <w:p w14:paraId="0A7EBB1A">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稀（900株/</w:t>
            </w:r>
            <w:r>
              <w:rPr>
                <w:rFonts w:hint="default" w:ascii="Times New Roman" w:hAnsi="Times New Roman" w:eastAsia="仿宋_GB2312" w:cs="Times New Roman"/>
                <w:b w:val="0"/>
                <w:bCs w:val="0"/>
                <w:sz w:val="24"/>
                <w:szCs w:val="24"/>
                <w:highlight w:val="none"/>
                <w:lang w:eastAsia="zh-CN"/>
              </w:rPr>
              <w:t>公顷</w:t>
            </w:r>
            <w:r>
              <w:rPr>
                <w:rFonts w:hint="default" w:ascii="Times New Roman" w:hAnsi="Times New Roman" w:eastAsia="仿宋_GB2312" w:cs="Times New Roman"/>
                <w:sz w:val="24"/>
                <w:szCs w:val="24"/>
                <w:highlight w:val="none"/>
                <w:lang w:val="en-US" w:eastAsia="zh-CN"/>
              </w:rPr>
              <w:t>）</w:t>
            </w:r>
          </w:p>
        </w:tc>
        <w:tc>
          <w:tcPr>
            <w:tcW w:w="1074" w:type="dxa"/>
            <w:vAlign w:val="center"/>
          </w:tcPr>
          <w:p w14:paraId="0B35B132">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20.8</w:t>
            </w:r>
          </w:p>
        </w:tc>
        <w:tc>
          <w:tcPr>
            <w:tcW w:w="1074" w:type="dxa"/>
            <w:vAlign w:val="center"/>
          </w:tcPr>
          <w:p w14:paraId="7E353747">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20.2</w:t>
            </w:r>
          </w:p>
        </w:tc>
        <w:tc>
          <w:tcPr>
            <w:tcW w:w="1074" w:type="dxa"/>
            <w:vAlign w:val="center"/>
          </w:tcPr>
          <w:p w14:paraId="10292E51">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19.4</w:t>
            </w:r>
          </w:p>
        </w:tc>
        <w:tc>
          <w:tcPr>
            <w:tcW w:w="1074" w:type="dxa"/>
            <w:vAlign w:val="center"/>
          </w:tcPr>
          <w:p w14:paraId="6C6CAC23">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21.6</w:t>
            </w:r>
          </w:p>
        </w:tc>
        <w:tc>
          <w:tcPr>
            <w:tcW w:w="1149" w:type="dxa"/>
            <w:vAlign w:val="center"/>
          </w:tcPr>
          <w:p w14:paraId="54D82317">
            <w:pPr>
              <w:pStyle w:val="9"/>
              <w:snapToGrid w:val="0"/>
              <w:ind w:left="0" w:leftChars="0" w:right="0" w:rightChars="0" w:firstLine="0" w:firstLineChars="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20.5</w:t>
            </w:r>
          </w:p>
        </w:tc>
      </w:tr>
    </w:tbl>
    <w:p w14:paraId="0FEA6C8B">
      <w:pPr>
        <w:keepNext w:val="0"/>
        <w:keepLines w:val="0"/>
        <w:pageBreakBefore w:val="0"/>
        <w:widowControl w:val="0"/>
        <w:kinsoku/>
        <w:wordWrap/>
        <w:overflowPunct/>
        <w:topLinePunct w:val="0"/>
        <w:bidi w:val="0"/>
        <w:spacing w:after="78" w:afterLines="25" w:line="600"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⑤在病虫害防治方面：魏开炬等从200</w:t>
      </w:r>
      <w:bookmarkStart w:id="0" w:name="_GoBack"/>
      <w:bookmarkEnd w:id="0"/>
      <w:r>
        <w:rPr>
          <w:rFonts w:hint="default" w:ascii="Times New Roman" w:hAnsi="Times New Roman" w:eastAsia="仿宋_GB2312" w:cs="Times New Roman"/>
          <w:sz w:val="30"/>
          <w:szCs w:val="30"/>
        </w:rPr>
        <w:t>0年开始，对危害木荷的主要病虫害进行了调查、观察与防治试验，总结报道了木荷的主要病虫害及防治技术。</w:t>
      </w:r>
    </w:p>
    <w:p w14:paraId="245ED681">
      <w:pPr>
        <w:keepNext w:val="0"/>
        <w:keepLines w:val="0"/>
        <w:pageBreakBefore w:val="0"/>
        <w:widowControl w:val="0"/>
        <w:numPr>
          <w:ilvl w:val="-1"/>
          <w:numId w:val="0"/>
        </w:numPr>
        <w:kinsoku/>
        <w:wordWrap/>
        <w:overflowPunct/>
        <w:topLinePunct w:val="0"/>
        <w:autoSpaceDE/>
        <w:autoSpaceDN/>
        <w:bidi w:val="0"/>
        <w:adjustRightInd/>
        <w:snapToGrid/>
        <w:spacing w:after="78" w:afterLines="25" w:line="600" w:lineRule="exact"/>
        <w:ind w:firstLine="600" w:firstLineChars="200"/>
        <w:jc w:val="left"/>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sz w:val="30"/>
          <w:szCs w:val="30"/>
        </w:rPr>
        <w:t>⑥</w:t>
      </w:r>
      <w:r>
        <w:rPr>
          <w:rFonts w:hint="default" w:ascii="Times New Roman" w:hAnsi="Times New Roman" w:eastAsia="仿宋_GB2312" w:cs="Times New Roman"/>
          <w:b w:val="0"/>
          <w:bCs/>
          <w:sz w:val="30"/>
          <w:szCs w:val="30"/>
          <w:lang w:eastAsia="zh-CN"/>
        </w:rPr>
        <w:t>抚育采伐时间和强度的确定：</w:t>
      </w:r>
      <w:r>
        <w:rPr>
          <w:rFonts w:hint="default" w:ascii="Times New Roman" w:hAnsi="Times New Roman" w:eastAsia="仿宋_GB2312" w:cs="Times New Roman"/>
          <w:sz w:val="30"/>
          <w:szCs w:val="30"/>
        </w:rPr>
        <w:t>苏培正对木荷纯林不同抚育间伐强度对比试验，结果表明：不同的抚育间伐强度对林木的胸径生长有着极显著的影响。强、中、弱度的胸径分别比对照大10．13％，18．99％，30．38％</w:t>
      </w:r>
      <w:r>
        <w:rPr>
          <w:rFonts w:hint="default" w:ascii="Times New Roman" w:hAnsi="Times New Roman" w:eastAsia="仿宋_GB2312" w:cs="Times New Roman"/>
          <w:sz w:val="30"/>
          <w:szCs w:val="30"/>
          <w:lang w:eastAsia="zh-CN"/>
        </w:rPr>
        <w:t>。</w:t>
      </w:r>
      <w:r>
        <w:rPr>
          <w:rFonts w:hint="default" w:ascii="Times New Roman" w:hAnsi="Times New Roman" w:eastAsia="仿宋_GB2312" w:cs="Times New Roman"/>
          <w:b w:val="0"/>
          <w:bCs/>
          <w:sz w:val="30"/>
          <w:szCs w:val="30"/>
          <w:lang w:eastAsia="zh-CN"/>
        </w:rPr>
        <w:t>按照不同种植密度，分三次抚育采伐，最终保留株树</w:t>
      </w:r>
      <w:r>
        <w:rPr>
          <w:rFonts w:hint="eastAsia" w:eastAsia="仿宋_GB2312" w:cs="Times New Roman"/>
          <w:b w:val="0"/>
          <w:bCs/>
          <w:sz w:val="30"/>
          <w:szCs w:val="30"/>
          <w:lang w:val="en-US" w:eastAsia="zh-CN"/>
        </w:rPr>
        <w:t>约</w:t>
      </w:r>
      <w:r>
        <w:rPr>
          <w:rFonts w:hint="default" w:ascii="Times New Roman" w:hAnsi="Times New Roman" w:eastAsia="仿宋_GB2312" w:cs="Times New Roman"/>
          <w:b w:val="0"/>
          <w:bCs/>
          <w:sz w:val="30"/>
          <w:szCs w:val="30"/>
          <w:lang w:val="en-US" w:eastAsia="zh-CN"/>
        </w:rPr>
        <w:t>40株/亩，符合大径材培育生产实际。</w:t>
      </w:r>
    </w:p>
    <w:p w14:paraId="3DFC4D7F">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bCs w:val="0"/>
          <w:sz w:val="30"/>
          <w:szCs w:val="30"/>
          <w:lang w:val="en-US" w:eastAsia="zh-CN"/>
        </w:rPr>
        <w:t>表2 不同林分抚育采伐强度</w:t>
      </w:r>
    </w:p>
    <w:tbl>
      <w:tblPr>
        <w:tblStyle w:val="5"/>
        <w:tblW w:w="937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75"/>
        <w:gridCol w:w="1875"/>
        <w:gridCol w:w="707"/>
        <w:gridCol w:w="1062"/>
        <w:gridCol w:w="931"/>
        <w:gridCol w:w="1051"/>
        <w:gridCol w:w="937"/>
        <w:gridCol w:w="939"/>
      </w:tblGrid>
      <w:tr w14:paraId="433779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75" w:type="dxa"/>
            <w:vMerge w:val="restart"/>
            <w:tcBorders>
              <w:top w:val="single" w:color="auto" w:sz="8" w:space="0"/>
              <w:left w:val="single" w:color="auto" w:sz="8" w:space="0"/>
              <w:bottom w:val="single" w:color="auto" w:sz="4" w:space="0"/>
              <w:right w:val="single" w:color="auto" w:sz="4" w:space="0"/>
            </w:tcBorders>
            <w:vAlign w:val="center"/>
          </w:tcPr>
          <w:p w14:paraId="3DBC41AE">
            <w:pPr>
              <w:pStyle w:val="9"/>
              <w:spacing w:before="0"/>
              <w:ind w:left="0" w:firstLine="240" w:firstLineChars="10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主伐年龄</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a</w:t>
            </w:r>
          </w:p>
        </w:tc>
        <w:tc>
          <w:tcPr>
            <w:tcW w:w="1875" w:type="dxa"/>
            <w:vMerge w:val="restart"/>
            <w:tcBorders>
              <w:top w:val="single" w:color="auto" w:sz="8" w:space="0"/>
              <w:left w:val="single" w:color="auto" w:sz="4" w:space="0"/>
              <w:bottom w:val="single" w:color="auto" w:sz="4" w:space="0"/>
              <w:right w:val="single" w:color="auto" w:sz="4" w:space="0"/>
            </w:tcBorders>
            <w:vAlign w:val="center"/>
          </w:tcPr>
          <w:p w14:paraId="6720036D">
            <w:pPr>
              <w:pStyle w:val="9"/>
              <w:ind w:left="0" w:firstLine="480" w:firstLineChars="200"/>
              <w:rPr>
                <w:rFonts w:hint="default" w:ascii="Times New Roman" w:hAnsi="Times New Roman" w:eastAsia="仿宋_GB2312" w:cs="Times New Roman"/>
                <w:b/>
                <w:color w:val="auto"/>
                <w:sz w:val="24"/>
              </w:rPr>
            </w:pPr>
            <w:r>
              <w:rPr>
                <w:rFonts w:hint="default" w:ascii="Times New Roman" w:hAnsi="Times New Roman" w:eastAsia="仿宋_GB2312" w:cs="Times New Roman"/>
                <w:color w:val="auto"/>
                <w:sz w:val="24"/>
                <w:szCs w:val="24"/>
              </w:rPr>
              <w:t xml:space="preserve">株行距 </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m</w:t>
            </w:r>
          </w:p>
        </w:tc>
        <w:tc>
          <w:tcPr>
            <w:tcW w:w="1769" w:type="dxa"/>
            <w:gridSpan w:val="2"/>
            <w:tcBorders>
              <w:top w:val="single" w:color="auto" w:sz="8" w:space="0"/>
              <w:left w:val="single" w:color="auto" w:sz="4" w:space="0"/>
              <w:bottom w:val="single" w:color="auto" w:sz="8" w:space="0"/>
              <w:right w:val="single" w:color="auto" w:sz="4" w:space="0"/>
            </w:tcBorders>
            <w:vAlign w:val="center"/>
          </w:tcPr>
          <w:p w14:paraId="7086D5FA">
            <w:pPr>
              <w:pStyle w:val="9"/>
              <w:spacing w:before="39"/>
              <w:ind w:left="0" w:firstLine="240" w:firstLineChars="100"/>
              <w:rPr>
                <w:rFonts w:hint="default" w:ascii="Times New Roman" w:hAnsi="Times New Roman" w:eastAsia="仿宋_GB2312" w:cs="Times New Roman"/>
                <w:b/>
                <w:color w:val="auto"/>
                <w:sz w:val="24"/>
              </w:rPr>
            </w:pPr>
            <w:r>
              <w:rPr>
                <w:rFonts w:hint="default" w:ascii="Times New Roman" w:hAnsi="Times New Roman" w:eastAsia="仿宋_GB2312" w:cs="Times New Roman"/>
                <w:color w:val="auto"/>
                <w:sz w:val="24"/>
                <w:szCs w:val="24"/>
              </w:rPr>
              <w:t>首次抚育采伐</w:t>
            </w:r>
          </w:p>
        </w:tc>
        <w:tc>
          <w:tcPr>
            <w:tcW w:w="1982" w:type="dxa"/>
            <w:gridSpan w:val="2"/>
            <w:tcBorders>
              <w:top w:val="single" w:color="auto" w:sz="8" w:space="0"/>
              <w:left w:val="single" w:color="auto" w:sz="4" w:space="0"/>
              <w:bottom w:val="single" w:color="auto" w:sz="8" w:space="0"/>
              <w:right w:val="single" w:color="auto" w:sz="4" w:space="0"/>
            </w:tcBorders>
            <w:vAlign w:val="center"/>
          </w:tcPr>
          <w:p w14:paraId="4303762D">
            <w:pPr>
              <w:pStyle w:val="9"/>
              <w:spacing w:before="39"/>
              <w:ind w:left="0" w:firstLine="240" w:firstLineChars="100"/>
              <w:rPr>
                <w:rFonts w:hint="default" w:ascii="Times New Roman" w:hAnsi="Times New Roman" w:eastAsia="仿宋_GB2312" w:cs="Times New Roman"/>
                <w:b/>
                <w:color w:val="auto"/>
                <w:sz w:val="24"/>
              </w:rPr>
            </w:pPr>
            <w:r>
              <w:rPr>
                <w:rFonts w:hint="default" w:ascii="Times New Roman" w:hAnsi="Times New Roman" w:eastAsia="仿宋_GB2312" w:cs="Times New Roman"/>
                <w:color w:val="auto"/>
                <w:sz w:val="24"/>
                <w:szCs w:val="24"/>
              </w:rPr>
              <w:t>第二次抚育采伐</w:t>
            </w:r>
          </w:p>
        </w:tc>
        <w:tc>
          <w:tcPr>
            <w:tcW w:w="1876" w:type="dxa"/>
            <w:gridSpan w:val="2"/>
            <w:tcBorders>
              <w:top w:val="single" w:color="auto" w:sz="8" w:space="0"/>
              <w:left w:val="single" w:color="auto" w:sz="4" w:space="0"/>
              <w:bottom w:val="single" w:color="auto" w:sz="8" w:space="0"/>
              <w:right w:val="single" w:color="auto" w:sz="8" w:space="0"/>
            </w:tcBorders>
            <w:vAlign w:val="center"/>
          </w:tcPr>
          <w:p w14:paraId="449E6BC7">
            <w:pPr>
              <w:pStyle w:val="9"/>
              <w:spacing w:before="39"/>
              <w:ind w:left="0" w:firstLine="240" w:firstLineChars="100"/>
              <w:rPr>
                <w:rFonts w:hint="default" w:ascii="Times New Roman" w:hAnsi="Times New Roman" w:eastAsia="仿宋_GB2312" w:cs="Times New Roman"/>
                <w:b/>
                <w:color w:val="auto"/>
                <w:sz w:val="24"/>
              </w:rPr>
            </w:pPr>
            <w:r>
              <w:rPr>
                <w:rFonts w:hint="default" w:ascii="Times New Roman" w:hAnsi="Times New Roman" w:eastAsia="仿宋_GB2312" w:cs="Times New Roman"/>
                <w:color w:val="auto"/>
                <w:sz w:val="24"/>
                <w:szCs w:val="24"/>
              </w:rPr>
              <w:t>第三次抚育采伐</w:t>
            </w:r>
          </w:p>
        </w:tc>
      </w:tr>
      <w:tr w14:paraId="113F3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0" w:type="auto"/>
            <w:vMerge w:val="continue"/>
            <w:tcBorders>
              <w:top w:val="single" w:color="auto" w:sz="8" w:space="0"/>
              <w:left w:val="single" w:color="auto" w:sz="8" w:space="0"/>
              <w:bottom w:val="single" w:color="auto" w:sz="4" w:space="0"/>
              <w:right w:val="single" w:color="auto" w:sz="4" w:space="0"/>
            </w:tcBorders>
            <w:vAlign w:val="center"/>
          </w:tcPr>
          <w:p w14:paraId="63D57E0F">
            <w:pPr>
              <w:widowControl/>
              <w:jc w:val="left"/>
              <w:rPr>
                <w:rFonts w:hint="default" w:ascii="Times New Roman" w:hAnsi="Times New Roman" w:eastAsia="仿宋_GB2312" w:cs="Times New Roman"/>
                <w:color w:val="auto"/>
                <w:sz w:val="24"/>
                <w:szCs w:val="24"/>
              </w:rPr>
            </w:pPr>
          </w:p>
        </w:tc>
        <w:tc>
          <w:tcPr>
            <w:tcW w:w="0" w:type="auto"/>
            <w:vMerge w:val="continue"/>
            <w:tcBorders>
              <w:top w:val="single" w:color="auto" w:sz="8" w:space="0"/>
              <w:left w:val="single" w:color="auto" w:sz="4" w:space="0"/>
              <w:bottom w:val="single" w:color="auto" w:sz="4" w:space="0"/>
              <w:right w:val="single" w:color="auto" w:sz="4" w:space="0"/>
            </w:tcBorders>
            <w:vAlign w:val="center"/>
          </w:tcPr>
          <w:p w14:paraId="66E6E80B">
            <w:pPr>
              <w:widowControl/>
              <w:jc w:val="left"/>
              <w:rPr>
                <w:rFonts w:hint="default" w:ascii="Times New Roman" w:hAnsi="Times New Roman" w:eastAsia="仿宋_GB2312" w:cs="Times New Roman"/>
                <w:b/>
                <w:color w:val="auto"/>
                <w:sz w:val="24"/>
                <w:szCs w:val="24"/>
              </w:rPr>
            </w:pPr>
          </w:p>
        </w:tc>
        <w:tc>
          <w:tcPr>
            <w:tcW w:w="707" w:type="dxa"/>
            <w:tcBorders>
              <w:top w:val="single" w:color="auto" w:sz="8" w:space="0"/>
              <w:left w:val="single" w:color="auto" w:sz="4" w:space="0"/>
              <w:bottom w:val="single" w:color="auto" w:sz="4" w:space="0"/>
              <w:right w:val="single" w:color="auto" w:sz="4" w:space="0"/>
            </w:tcBorders>
            <w:vAlign w:val="center"/>
          </w:tcPr>
          <w:p w14:paraId="2EE211A4">
            <w:pPr>
              <w:pStyle w:val="9"/>
              <w:tabs>
                <w:tab w:val="left" w:pos="956"/>
              </w:tabs>
              <w:spacing w:before="15"/>
              <w:ind w:left="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林龄</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a</w:t>
            </w:r>
          </w:p>
        </w:tc>
        <w:tc>
          <w:tcPr>
            <w:tcW w:w="1062" w:type="dxa"/>
            <w:tcBorders>
              <w:top w:val="single" w:color="auto" w:sz="8" w:space="0"/>
              <w:left w:val="single" w:color="auto" w:sz="4" w:space="0"/>
              <w:bottom w:val="single" w:color="auto" w:sz="4" w:space="0"/>
              <w:right w:val="single" w:color="auto" w:sz="4" w:space="0"/>
            </w:tcBorders>
            <w:vAlign w:val="center"/>
          </w:tcPr>
          <w:p w14:paraId="307AC90F">
            <w:pPr>
              <w:pStyle w:val="9"/>
              <w:spacing w:before="39"/>
              <w:ind w:left="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强度</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w:t>
            </w:r>
          </w:p>
        </w:tc>
        <w:tc>
          <w:tcPr>
            <w:tcW w:w="931" w:type="dxa"/>
            <w:tcBorders>
              <w:top w:val="single" w:color="auto" w:sz="8" w:space="0"/>
              <w:left w:val="single" w:color="auto" w:sz="4" w:space="0"/>
              <w:bottom w:val="single" w:color="auto" w:sz="4" w:space="0"/>
              <w:right w:val="single" w:color="auto" w:sz="4" w:space="0"/>
            </w:tcBorders>
            <w:vAlign w:val="center"/>
          </w:tcPr>
          <w:p w14:paraId="60930820">
            <w:pPr>
              <w:pStyle w:val="9"/>
              <w:tabs>
                <w:tab w:val="left" w:pos="937"/>
              </w:tabs>
              <w:spacing w:before="15"/>
              <w:ind w:left="0" w:firstLine="240" w:firstLineChars="1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林龄</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a</w:t>
            </w:r>
          </w:p>
        </w:tc>
        <w:tc>
          <w:tcPr>
            <w:tcW w:w="1051" w:type="dxa"/>
            <w:tcBorders>
              <w:top w:val="single" w:color="auto" w:sz="8" w:space="0"/>
              <w:left w:val="single" w:color="auto" w:sz="4" w:space="0"/>
              <w:bottom w:val="single" w:color="auto" w:sz="4" w:space="0"/>
              <w:right w:val="single" w:color="auto" w:sz="4" w:space="0"/>
            </w:tcBorders>
            <w:vAlign w:val="center"/>
          </w:tcPr>
          <w:p w14:paraId="5448109B">
            <w:pPr>
              <w:pStyle w:val="9"/>
              <w:spacing w:before="39"/>
              <w:ind w:left="0"/>
              <w:jc w:val="center"/>
              <w:rPr>
                <w:rFonts w:hint="default"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szCs w:val="24"/>
              </w:rPr>
              <w:t>强度</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w:t>
            </w:r>
          </w:p>
        </w:tc>
        <w:tc>
          <w:tcPr>
            <w:tcW w:w="937" w:type="dxa"/>
            <w:tcBorders>
              <w:top w:val="single" w:color="auto" w:sz="8" w:space="0"/>
              <w:left w:val="single" w:color="auto" w:sz="4" w:space="0"/>
              <w:bottom w:val="single" w:color="auto" w:sz="4" w:space="0"/>
              <w:right w:val="single" w:color="auto" w:sz="4" w:space="0"/>
            </w:tcBorders>
            <w:vAlign w:val="center"/>
          </w:tcPr>
          <w:p w14:paraId="4A6F60E9">
            <w:pPr>
              <w:pStyle w:val="9"/>
              <w:tabs>
                <w:tab w:val="left" w:pos="937"/>
              </w:tabs>
              <w:spacing w:before="15"/>
              <w:ind w:left="0" w:firstLine="240" w:firstLineChars="1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林龄</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a</w:t>
            </w:r>
          </w:p>
        </w:tc>
        <w:tc>
          <w:tcPr>
            <w:tcW w:w="939" w:type="dxa"/>
            <w:tcBorders>
              <w:top w:val="single" w:color="auto" w:sz="8" w:space="0"/>
              <w:left w:val="single" w:color="auto" w:sz="4" w:space="0"/>
              <w:bottom w:val="single" w:color="auto" w:sz="4" w:space="0"/>
              <w:right w:val="single" w:color="auto" w:sz="8" w:space="0"/>
            </w:tcBorders>
            <w:vAlign w:val="center"/>
          </w:tcPr>
          <w:p w14:paraId="7B15EB6B">
            <w:pPr>
              <w:pStyle w:val="9"/>
              <w:spacing w:before="39"/>
              <w:ind w:left="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强度</w:t>
            </w:r>
            <w:r>
              <w:rPr>
                <w:rFonts w:hint="default" w:ascii="Times New Roman" w:hAnsi="Times New Roman" w:eastAsia="仿宋_GB2312" w:cs="Times New Roman"/>
                <w:i w:val="0"/>
                <w:iCs w:val="0"/>
                <w:caps w:val="0"/>
                <w:color w:val="auto"/>
                <w:spacing w:val="0"/>
                <w:sz w:val="24"/>
                <w:szCs w:val="24"/>
                <w:shd w:val="clear"/>
              </w:rPr>
              <w:t>/</w:t>
            </w:r>
            <w:r>
              <w:rPr>
                <w:rFonts w:hint="default" w:ascii="Times New Roman" w:hAnsi="Times New Roman" w:eastAsia="仿宋_GB2312" w:cs="Times New Roman"/>
                <w:color w:val="auto"/>
                <w:sz w:val="24"/>
                <w:szCs w:val="24"/>
              </w:rPr>
              <w:t>%</w:t>
            </w:r>
          </w:p>
        </w:tc>
      </w:tr>
      <w:tr w14:paraId="49309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75" w:type="dxa"/>
            <w:tcBorders>
              <w:top w:val="single" w:color="auto" w:sz="4" w:space="0"/>
              <w:left w:val="single" w:color="auto" w:sz="8" w:space="0"/>
              <w:bottom w:val="single" w:color="auto" w:sz="4" w:space="0"/>
              <w:right w:val="single" w:color="auto" w:sz="4" w:space="0"/>
            </w:tcBorders>
            <w:vAlign w:val="center"/>
          </w:tcPr>
          <w:p w14:paraId="78C00620">
            <w:pPr>
              <w:pStyle w:val="9"/>
              <w:ind w:left="0" w:firstLine="960" w:firstLineChars="4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35</w:t>
            </w:r>
          </w:p>
        </w:tc>
        <w:tc>
          <w:tcPr>
            <w:tcW w:w="1875" w:type="dxa"/>
            <w:tcBorders>
              <w:top w:val="single" w:color="auto" w:sz="4" w:space="0"/>
              <w:left w:val="single" w:color="auto" w:sz="4" w:space="0"/>
              <w:bottom w:val="single" w:color="auto" w:sz="4" w:space="0"/>
              <w:right w:val="single" w:color="auto" w:sz="4" w:space="0"/>
            </w:tcBorders>
            <w:vAlign w:val="center"/>
          </w:tcPr>
          <w:p w14:paraId="085D46FB">
            <w:pPr>
              <w:pStyle w:val="9"/>
              <w:spacing w:before="60"/>
              <w:ind w:left="0"/>
              <w:jc w:val="center"/>
              <w:rPr>
                <w:rFonts w:hint="eastAsia" w:ascii="Times New Roman" w:hAnsi="Times New Roman" w:eastAsia="仿宋_GB2312" w:cs="Times New Roman"/>
                <w:color w:val="auto"/>
                <w:sz w:val="24"/>
                <w:lang w:eastAsia="zh-CN"/>
              </w:rPr>
            </w:pPr>
            <w:r>
              <w:rPr>
                <w:rFonts w:hint="default" w:ascii="Times New Roman" w:hAnsi="Times New Roman" w:eastAsia="仿宋_GB2312" w:cs="Times New Roman"/>
                <w:color w:val="auto"/>
                <w:sz w:val="24"/>
                <w:szCs w:val="24"/>
              </w:rPr>
              <w:t>3×</w:t>
            </w:r>
            <w:r>
              <w:rPr>
                <w:rFonts w:hint="eastAsia" w:eastAsia="仿宋_GB2312" w:cs="Times New Roman"/>
                <w:color w:val="auto"/>
                <w:sz w:val="24"/>
                <w:szCs w:val="24"/>
                <w:lang w:val="en-US" w:eastAsia="zh-CN"/>
              </w:rPr>
              <w:t>2</w:t>
            </w:r>
          </w:p>
        </w:tc>
        <w:tc>
          <w:tcPr>
            <w:tcW w:w="707" w:type="dxa"/>
            <w:tcBorders>
              <w:top w:val="single" w:color="auto" w:sz="4" w:space="0"/>
              <w:left w:val="single" w:color="auto" w:sz="4" w:space="0"/>
              <w:bottom w:val="single" w:color="auto" w:sz="4" w:space="0"/>
              <w:right w:val="single" w:color="auto" w:sz="4" w:space="0"/>
            </w:tcBorders>
            <w:vAlign w:val="center"/>
          </w:tcPr>
          <w:p w14:paraId="70771CFC">
            <w:pPr>
              <w:pStyle w:val="9"/>
              <w:spacing w:before="60"/>
              <w:ind w:left="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8</w:t>
            </w:r>
          </w:p>
        </w:tc>
        <w:tc>
          <w:tcPr>
            <w:tcW w:w="1062" w:type="dxa"/>
            <w:tcBorders>
              <w:top w:val="single" w:color="auto" w:sz="4" w:space="0"/>
              <w:left w:val="single" w:color="auto" w:sz="4" w:space="0"/>
              <w:bottom w:val="single" w:color="auto" w:sz="4" w:space="0"/>
              <w:right w:val="single" w:color="auto" w:sz="4" w:space="0"/>
            </w:tcBorders>
            <w:vAlign w:val="center"/>
          </w:tcPr>
          <w:p w14:paraId="60387316">
            <w:pPr>
              <w:pStyle w:val="9"/>
              <w:spacing w:before="60"/>
              <w:ind w:left="0"/>
              <w:jc w:val="center"/>
              <w:rPr>
                <w:rFonts w:hint="default" w:ascii="Times New Roman" w:hAnsi="Times New Roman" w:eastAsia="仿宋_GB2312" w:cs="Times New Roman"/>
                <w:color w:val="auto"/>
                <w:sz w:val="24"/>
                <w:lang w:val="en-US" w:eastAsia="zh-CN"/>
              </w:rPr>
            </w:pPr>
            <w:r>
              <w:rPr>
                <w:rFonts w:hint="eastAsia" w:eastAsia="仿宋_GB2312" w:cs="Times New Roman"/>
                <w:color w:val="auto"/>
                <w:sz w:val="24"/>
                <w:szCs w:val="24"/>
                <w:lang w:val="en-US" w:eastAsia="zh-CN"/>
              </w:rPr>
              <w:t>20</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2</w:t>
            </w:r>
            <w:r>
              <w:rPr>
                <w:rFonts w:hint="eastAsia" w:eastAsia="仿宋_GB2312" w:cs="Times New Roman"/>
                <w:color w:val="auto"/>
                <w:sz w:val="24"/>
                <w:szCs w:val="24"/>
                <w:lang w:val="en-US" w:eastAsia="zh-CN"/>
              </w:rPr>
              <w:t>5</w:t>
            </w:r>
          </w:p>
        </w:tc>
        <w:tc>
          <w:tcPr>
            <w:tcW w:w="931" w:type="dxa"/>
            <w:tcBorders>
              <w:top w:val="single" w:color="auto" w:sz="4" w:space="0"/>
              <w:left w:val="single" w:color="auto" w:sz="4" w:space="0"/>
              <w:bottom w:val="single" w:color="auto" w:sz="4" w:space="0"/>
              <w:right w:val="single" w:color="auto" w:sz="4" w:space="0"/>
            </w:tcBorders>
            <w:vAlign w:val="center"/>
          </w:tcPr>
          <w:p w14:paraId="0E2E2680">
            <w:pPr>
              <w:pStyle w:val="9"/>
              <w:spacing w:before="60"/>
              <w:ind w:left="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15</w:t>
            </w:r>
          </w:p>
        </w:tc>
        <w:tc>
          <w:tcPr>
            <w:tcW w:w="1051" w:type="dxa"/>
            <w:tcBorders>
              <w:top w:val="single" w:color="auto" w:sz="4" w:space="0"/>
              <w:left w:val="single" w:color="auto" w:sz="4" w:space="0"/>
              <w:bottom w:val="single" w:color="auto" w:sz="4" w:space="0"/>
              <w:right w:val="single" w:color="auto" w:sz="4" w:space="0"/>
            </w:tcBorders>
            <w:vAlign w:val="center"/>
          </w:tcPr>
          <w:p w14:paraId="1AC5B711">
            <w:pPr>
              <w:pStyle w:val="9"/>
              <w:spacing w:before="60"/>
              <w:ind w:left="0"/>
              <w:jc w:val="center"/>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szCs w:val="24"/>
                <w:lang w:val="en-US" w:eastAsia="zh-CN"/>
              </w:rPr>
              <w:t>2</w:t>
            </w:r>
            <w:r>
              <w:rPr>
                <w:rFonts w:hint="eastAsia" w:eastAsia="仿宋_GB2312" w:cs="Times New Roman"/>
                <w:color w:val="auto"/>
                <w:sz w:val="24"/>
                <w:szCs w:val="24"/>
                <w:lang w:val="en-US" w:eastAsia="zh-CN"/>
              </w:rPr>
              <w:t>5</w:t>
            </w:r>
            <w:r>
              <w:rPr>
                <w:rFonts w:hint="default" w:ascii="Times New Roman" w:hAnsi="Times New Roman" w:eastAsia="仿宋_GB2312" w:cs="Times New Roman"/>
                <w:color w:val="auto"/>
                <w:sz w:val="24"/>
                <w:szCs w:val="24"/>
              </w:rPr>
              <w:t>～</w:t>
            </w:r>
            <w:r>
              <w:rPr>
                <w:rFonts w:hint="eastAsia" w:eastAsia="仿宋_GB2312" w:cs="Times New Roman"/>
                <w:color w:val="auto"/>
                <w:sz w:val="24"/>
                <w:szCs w:val="24"/>
                <w:lang w:val="en-US" w:eastAsia="zh-CN"/>
              </w:rPr>
              <w:t>30</w:t>
            </w:r>
          </w:p>
        </w:tc>
        <w:tc>
          <w:tcPr>
            <w:tcW w:w="937" w:type="dxa"/>
            <w:tcBorders>
              <w:top w:val="single" w:color="auto" w:sz="4" w:space="0"/>
              <w:left w:val="single" w:color="auto" w:sz="4" w:space="0"/>
              <w:bottom w:val="single" w:color="auto" w:sz="4" w:space="0"/>
              <w:right w:val="single" w:color="auto" w:sz="4" w:space="0"/>
            </w:tcBorders>
            <w:vAlign w:val="center"/>
          </w:tcPr>
          <w:p w14:paraId="7B554C53">
            <w:pPr>
              <w:pStyle w:val="9"/>
              <w:spacing w:before="60"/>
              <w:ind w:left="0"/>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rPr>
              <w:t>25</w:t>
            </w:r>
          </w:p>
        </w:tc>
        <w:tc>
          <w:tcPr>
            <w:tcW w:w="939" w:type="dxa"/>
            <w:tcBorders>
              <w:top w:val="single" w:color="auto" w:sz="4" w:space="0"/>
              <w:left w:val="single" w:color="auto" w:sz="4" w:space="0"/>
              <w:bottom w:val="single" w:color="auto" w:sz="4" w:space="0"/>
              <w:right w:val="single" w:color="auto" w:sz="8" w:space="0"/>
            </w:tcBorders>
            <w:vAlign w:val="center"/>
          </w:tcPr>
          <w:p w14:paraId="74DD9352">
            <w:pPr>
              <w:pStyle w:val="9"/>
              <w:spacing w:before="60"/>
              <w:ind w:left="0"/>
              <w:jc w:val="center"/>
              <w:rPr>
                <w:rFonts w:hint="default" w:ascii="Times New Roman" w:hAnsi="Times New Roman" w:eastAsia="仿宋_GB2312" w:cs="Times New Roman"/>
                <w:color w:val="auto"/>
                <w:sz w:val="24"/>
                <w:lang w:val="en-US" w:eastAsia="zh-CN"/>
              </w:rPr>
            </w:pPr>
            <w:r>
              <w:rPr>
                <w:rFonts w:hint="eastAsia" w:eastAsia="仿宋_GB2312" w:cs="Times New Roman"/>
                <w:color w:val="auto"/>
                <w:sz w:val="24"/>
                <w:szCs w:val="24"/>
                <w:lang w:val="en-US" w:eastAsia="zh-CN"/>
              </w:rPr>
              <w:t>30</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3</w:t>
            </w:r>
            <w:r>
              <w:rPr>
                <w:rFonts w:hint="eastAsia" w:eastAsia="仿宋_GB2312" w:cs="Times New Roman"/>
                <w:color w:val="auto"/>
                <w:sz w:val="24"/>
                <w:szCs w:val="24"/>
                <w:lang w:val="en-US" w:eastAsia="zh-CN"/>
              </w:rPr>
              <w:t>5</w:t>
            </w:r>
          </w:p>
        </w:tc>
      </w:tr>
      <w:tr w14:paraId="25D7E0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75" w:type="dxa"/>
            <w:tcBorders>
              <w:top w:val="single" w:color="auto" w:sz="4" w:space="0"/>
              <w:left w:val="single" w:color="auto" w:sz="8" w:space="0"/>
              <w:bottom w:val="single" w:color="auto" w:sz="8" w:space="0"/>
              <w:right w:val="single" w:color="auto" w:sz="4" w:space="0"/>
            </w:tcBorders>
            <w:vAlign w:val="center"/>
          </w:tcPr>
          <w:p w14:paraId="72B95EE1">
            <w:pPr>
              <w:pStyle w:val="9"/>
              <w:ind w:left="0" w:firstLine="960" w:firstLineChars="4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40</w:t>
            </w:r>
          </w:p>
        </w:tc>
        <w:tc>
          <w:tcPr>
            <w:tcW w:w="1875" w:type="dxa"/>
            <w:tcBorders>
              <w:top w:val="single" w:color="auto" w:sz="4" w:space="0"/>
              <w:left w:val="single" w:color="auto" w:sz="4" w:space="0"/>
              <w:bottom w:val="single" w:color="auto" w:sz="8" w:space="0"/>
              <w:right w:val="single" w:color="auto" w:sz="4" w:space="0"/>
            </w:tcBorders>
            <w:vAlign w:val="center"/>
          </w:tcPr>
          <w:p w14:paraId="499E09C6">
            <w:pPr>
              <w:pStyle w:val="9"/>
              <w:ind w:left="0"/>
              <w:jc w:val="center"/>
              <w:rPr>
                <w:rFonts w:hint="default" w:ascii="Times New Roman" w:hAnsi="Times New Roman" w:eastAsia="仿宋_GB2312" w:cs="Times New Roman"/>
                <w:color w:val="auto"/>
                <w:sz w:val="24"/>
                <w:szCs w:val="24"/>
              </w:rPr>
            </w:pPr>
            <w:r>
              <w:rPr>
                <w:rFonts w:hint="eastAsia"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×2</w:t>
            </w:r>
          </w:p>
        </w:tc>
        <w:tc>
          <w:tcPr>
            <w:tcW w:w="707" w:type="dxa"/>
            <w:tcBorders>
              <w:top w:val="single" w:color="auto" w:sz="4" w:space="0"/>
              <w:left w:val="single" w:color="auto" w:sz="4" w:space="0"/>
              <w:bottom w:val="single" w:color="auto" w:sz="8" w:space="0"/>
              <w:right w:val="single" w:color="auto" w:sz="4" w:space="0"/>
            </w:tcBorders>
            <w:vAlign w:val="center"/>
          </w:tcPr>
          <w:p w14:paraId="50AC283D">
            <w:pPr>
              <w:pStyle w:val="9"/>
              <w:spacing w:before="60"/>
              <w:ind w:lef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10</w:t>
            </w:r>
          </w:p>
        </w:tc>
        <w:tc>
          <w:tcPr>
            <w:tcW w:w="1062" w:type="dxa"/>
            <w:tcBorders>
              <w:top w:val="single" w:color="auto" w:sz="4" w:space="0"/>
              <w:left w:val="single" w:color="auto" w:sz="4" w:space="0"/>
              <w:bottom w:val="single" w:color="auto" w:sz="8" w:space="0"/>
              <w:right w:val="single" w:color="auto" w:sz="4" w:space="0"/>
            </w:tcBorders>
            <w:vAlign w:val="center"/>
          </w:tcPr>
          <w:p w14:paraId="208A3B55">
            <w:pPr>
              <w:pStyle w:val="9"/>
              <w:spacing w:before="60"/>
              <w:ind w:left="0"/>
              <w:jc w:val="center"/>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30</w:t>
            </w:r>
            <w:r>
              <w:rPr>
                <w:rFonts w:hint="default" w:ascii="Times New Roman" w:hAnsi="Times New Roman" w:eastAsia="仿宋_GB2312" w:cs="Times New Roman"/>
                <w:color w:val="auto"/>
                <w:sz w:val="24"/>
                <w:szCs w:val="24"/>
              </w:rPr>
              <w:t>～</w:t>
            </w:r>
            <w:r>
              <w:rPr>
                <w:rFonts w:hint="eastAsia" w:eastAsia="仿宋_GB2312" w:cs="Times New Roman"/>
                <w:color w:val="auto"/>
                <w:sz w:val="24"/>
                <w:szCs w:val="24"/>
                <w:lang w:val="en-US" w:eastAsia="zh-CN"/>
              </w:rPr>
              <w:t>35</w:t>
            </w:r>
          </w:p>
        </w:tc>
        <w:tc>
          <w:tcPr>
            <w:tcW w:w="931" w:type="dxa"/>
            <w:tcBorders>
              <w:top w:val="single" w:color="auto" w:sz="4" w:space="0"/>
              <w:left w:val="single" w:color="auto" w:sz="4" w:space="0"/>
              <w:bottom w:val="single" w:color="auto" w:sz="8" w:space="0"/>
              <w:right w:val="single" w:color="auto" w:sz="4" w:space="0"/>
            </w:tcBorders>
            <w:vAlign w:val="center"/>
          </w:tcPr>
          <w:p w14:paraId="15247EA1">
            <w:pPr>
              <w:pStyle w:val="9"/>
              <w:spacing w:before="60"/>
              <w:ind w:lef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17</w:t>
            </w:r>
          </w:p>
        </w:tc>
        <w:tc>
          <w:tcPr>
            <w:tcW w:w="1051" w:type="dxa"/>
            <w:tcBorders>
              <w:top w:val="single" w:color="auto" w:sz="4" w:space="0"/>
              <w:left w:val="single" w:color="auto" w:sz="4" w:space="0"/>
              <w:bottom w:val="single" w:color="auto" w:sz="8" w:space="0"/>
              <w:right w:val="single" w:color="auto" w:sz="4" w:space="0"/>
            </w:tcBorders>
            <w:vAlign w:val="center"/>
          </w:tcPr>
          <w:p w14:paraId="49D6A1C4">
            <w:pPr>
              <w:pStyle w:val="9"/>
              <w:spacing w:before="60"/>
              <w:ind w:left="0"/>
              <w:jc w:val="center"/>
              <w:rPr>
                <w:rFonts w:hint="default" w:ascii="Times New Roman" w:hAnsi="Times New Roman" w:eastAsia="仿宋_GB2312" w:cs="Times New Roman"/>
                <w:color w:val="auto"/>
                <w:sz w:val="24"/>
                <w:szCs w:val="24"/>
              </w:rPr>
            </w:pPr>
            <w:r>
              <w:rPr>
                <w:rFonts w:hint="eastAsia" w:eastAsia="仿宋_GB2312" w:cs="Times New Roman"/>
                <w:color w:val="auto"/>
                <w:sz w:val="24"/>
                <w:szCs w:val="24"/>
                <w:lang w:val="en-US" w:eastAsia="zh-CN"/>
              </w:rPr>
              <w:t>30</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3</w:t>
            </w:r>
            <w:r>
              <w:rPr>
                <w:rFonts w:hint="eastAsia" w:eastAsia="仿宋_GB2312" w:cs="Times New Roman"/>
                <w:color w:val="auto"/>
                <w:sz w:val="24"/>
                <w:szCs w:val="24"/>
                <w:lang w:val="en-US" w:eastAsia="zh-CN"/>
              </w:rPr>
              <w:t>5</w:t>
            </w:r>
          </w:p>
        </w:tc>
        <w:tc>
          <w:tcPr>
            <w:tcW w:w="937" w:type="dxa"/>
            <w:tcBorders>
              <w:top w:val="single" w:color="auto" w:sz="4" w:space="0"/>
              <w:left w:val="single" w:color="auto" w:sz="4" w:space="0"/>
              <w:bottom w:val="single" w:color="auto" w:sz="8" w:space="0"/>
              <w:right w:val="single" w:color="auto" w:sz="4" w:space="0"/>
            </w:tcBorders>
            <w:vAlign w:val="center"/>
          </w:tcPr>
          <w:p w14:paraId="45C27C92">
            <w:pPr>
              <w:pStyle w:val="9"/>
              <w:spacing w:before="60"/>
              <w:ind w:lef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28</w:t>
            </w:r>
          </w:p>
        </w:tc>
        <w:tc>
          <w:tcPr>
            <w:tcW w:w="939" w:type="dxa"/>
            <w:tcBorders>
              <w:top w:val="single" w:color="auto" w:sz="4" w:space="0"/>
              <w:left w:val="single" w:color="auto" w:sz="4" w:space="0"/>
              <w:bottom w:val="single" w:color="auto" w:sz="8" w:space="0"/>
              <w:right w:val="single" w:color="auto" w:sz="8" w:space="0"/>
            </w:tcBorders>
            <w:vAlign w:val="center"/>
          </w:tcPr>
          <w:p w14:paraId="5C91F144">
            <w:pPr>
              <w:pStyle w:val="9"/>
              <w:spacing w:before="60"/>
              <w:ind w:left="0"/>
              <w:jc w:val="center"/>
              <w:rPr>
                <w:rFonts w:hint="default" w:ascii="Times New Roman" w:hAnsi="Times New Roman" w:eastAsia="仿宋_GB2312" w:cs="Times New Roman"/>
                <w:color w:val="auto"/>
                <w:sz w:val="24"/>
                <w:szCs w:val="24"/>
              </w:rPr>
            </w:pPr>
            <w:r>
              <w:rPr>
                <w:rFonts w:hint="eastAsia" w:eastAsia="仿宋_GB2312" w:cs="Times New Roman"/>
                <w:color w:val="auto"/>
                <w:sz w:val="24"/>
                <w:szCs w:val="24"/>
                <w:lang w:val="en-US" w:eastAsia="zh-CN"/>
              </w:rPr>
              <w:t>40</w:t>
            </w:r>
            <w:r>
              <w:rPr>
                <w:rFonts w:hint="default" w:ascii="Times New Roman" w:hAnsi="Times New Roman" w:eastAsia="仿宋_GB2312" w:cs="Times New Roman"/>
                <w:color w:val="auto"/>
                <w:sz w:val="24"/>
                <w:szCs w:val="24"/>
              </w:rPr>
              <w:t>～</w:t>
            </w:r>
            <w:r>
              <w:rPr>
                <w:rFonts w:hint="eastAsia"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rPr>
              <w:t>5</w:t>
            </w:r>
          </w:p>
        </w:tc>
      </w:tr>
      <w:tr w14:paraId="428DDE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9377" w:type="dxa"/>
            <w:gridSpan w:val="8"/>
            <w:tcBorders>
              <w:top w:val="single" w:color="auto" w:sz="8" w:space="0"/>
              <w:left w:val="single" w:color="auto" w:sz="8" w:space="0"/>
              <w:bottom w:val="single" w:color="auto" w:sz="8" w:space="0"/>
              <w:right w:val="single" w:color="auto" w:sz="8" w:space="0"/>
            </w:tcBorders>
          </w:tcPr>
          <w:p w14:paraId="2D10E9F3">
            <w:pPr>
              <w:pStyle w:val="10"/>
              <w:tabs>
                <w:tab w:val="left" w:pos="5407"/>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注：抚育采伐强度为间伐株数占总株数的百分比。</w:t>
            </w:r>
            <w:r>
              <w:rPr>
                <w:rFonts w:hint="default" w:ascii="Times New Roman" w:hAnsi="Times New Roman" w:eastAsia="仿宋_GB2312" w:cs="Times New Roman"/>
                <w:b w:val="0"/>
                <w:bCs w:val="0"/>
                <w:color w:val="auto"/>
                <w:sz w:val="24"/>
                <w:szCs w:val="24"/>
                <w:lang w:val="en-US" w:eastAsia="zh-CN" w:bidi="ar-SA"/>
              </w:rPr>
              <w:t>当林分生长状况良好、目标径级提前达成时，可依据实际情况动态调整间伐时间节点和强度，避免过度干预影响自然整枝与干形发育。</w:t>
            </w:r>
          </w:p>
        </w:tc>
      </w:tr>
    </w:tbl>
    <w:p w14:paraId="47C1EC0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bCs w:val="0"/>
          <w:sz w:val="30"/>
          <w:szCs w:val="30"/>
          <w:lang w:val="en-US" w:eastAsia="zh-CN"/>
        </w:rPr>
        <w:t>表3 不同采伐强度保留株树</w:t>
      </w:r>
    </w:p>
    <w:tbl>
      <w:tblPr>
        <w:tblStyle w:val="4"/>
        <w:tblW w:w="846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87"/>
        <w:gridCol w:w="1459"/>
        <w:gridCol w:w="1920"/>
        <w:gridCol w:w="1965"/>
        <w:gridCol w:w="1929"/>
      </w:tblGrid>
      <w:tr w14:paraId="5298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C3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2"/>
                <w:sz w:val="24"/>
                <w:szCs w:val="24"/>
                <w:highlight w:val="none"/>
                <w:u w:val="none"/>
                <w:lang w:val="en-US" w:eastAsia="zh-CN" w:bidi="ar"/>
              </w:rPr>
              <w:t>株行距</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28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2"/>
                <w:sz w:val="24"/>
                <w:szCs w:val="24"/>
                <w:highlight w:val="none"/>
                <w:u w:val="none"/>
                <w:lang w:val="en-US" w:eastAsia="zh-CN" w:bidi="ar"/>
              </w:rPr>
              <w:t>保留株树（每亩）</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06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2"/>
                <w:sz w:val="24"/>
                <w:szCs w:val="24"/>
                <w:highlight w:val="none"/>
                <w:u w:val="none"/>
                <w:lang w:val="en-US" w:eastAsia="zh-CN" w:bidi="ar"/>
              </w:rPr>
              <w:t>第一次抚育采伐保留株数</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96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2"/>
                <w:sz w:val="24"/>
                <w:szCs w:val="24"/>
                <w:highlight w:val="none"/>
                <w:u w:val="none"/>
                <w:lang w:val="en-US" w:eastAsia="zh-CN" w:bidi="ar"/>
              </w:rPr>
              <w:t>第二次抚育采伐保留株数</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BC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b w:val="0"/>
                <w:bCs w:val="0"/>
                <w:i w:val="0"/>
                <w:iCs w:val="0"/>
                <w:color w:val="auto"/>
                <w:sz w:val="24"/>
                <w:szCs w:val="24"/>
                <w:highlight w:val="none"/>
                <w:u w:val="none"/>
              </w:rPr>
            </w:pPr>
            <w:r>
              <w:rPr>
                <w:rFonts w:hint="default" w:ascii="Times New Roman" w:hAnsi="Times New Roman" w:eastAsia="仿宋_GB2312" w:cs="Times New Roman"/>
                <w:b w:val="0"/>
                <w:bCs w:val="0"/>
                <w:i w:val="0"/>
                <w:iCs w:val="0"/>
                <w:color w:val="auto"/>
                <w:kern w:val="2"/>
                <w:sz w:val="24"/>
                <w:szCs w:val="24"/>
                <w:highlight w:val="none"/>
                <w:u w:val="none"/>
                <w:lang w:val="en-US" w:eastAsia="zh-CN" w:bidi="ar"/>
              </w:rPr>
              <w:t>第三次抚育采伐保留株数</w:t>
            </w:r>
          </w:p>
        </w:tc>
      </w:tr>
      <w:tr w14:paraId="584C9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438A">
            <w:pPr>
              <w:pStyle w:val="9"/>
              <w:spacing w:before="60"/>
              <w:ind w:left="0" w:leftChars="0" w:firstLine="0" w:firstLineChars="0"/>
              <w:jc w:val="center"/>
              <w:rPr>
                <w:rFonts w:hint="eastAsia" w:ascii="Times New Roman" w:hAnsi="Times New Roman" w:eastAsia="仿宋_GB2312" w:cs="Times New Roman"/>
                <w:b w:val="0"/>
                <w:bCs w:val="0"/>
                <w:i w:val="0"/>
                <w:iCs w:val="0"/>
                <w:color w:val="auto"/>
                <w:sz w:val="24"/>
                <w:szCs w:val="24"/>
                <w:highlight w:val="none"/>
                <w:u w:val="none"/>
                <w:lang w:eastAsia="zh-CN"/>
              </w:rPr>
            </w:pPr>
            <w:r>
              <w:rPr>
                <w:rFonts w:hint="default" w:ascii="Times New Roman" w:hAnsi="Times New Roman" w:eastAsia="仿宋_GB2312" w:cs="Times New Roman"/>
                <w:sz w:val="24"/>
                <w:szCs w:val="24"/>
                <w:highlight w:val="none"/>
                <w:lang w:val="en-US" w:eastAsia="zh-CN"/>
              </w:rPr>
              <w:t>3</w:t>
            </w:r>
            <w:r>
              <w:rPr>
                <w:rFonts w:hint="default" w:ascii="Times New Roman" w:hAnsi="Times New Roman" w:eastAsia="仿宋_GB2312" w:cs="Times New Roman"/>
                <w:sz w:val="24"/>
                <w:szCs w:val="24"/>
                <w:highlight w:val="none"/>
              </w:rPr>
              <w:t>×</w:t>
            </w:r>
            <w:r>
              <w:rPr>
                <w:rFonts w:hint="eastAsia" w:eastAsia="仿宋_GB2312" w:cs="Times New Roman"/>
                <w:sz w:val="24"/>
                <w:szCs w:val="24"/>
                <w:highlight w:val="none"/>
                <w:lang w:val="en-US" w:eastAsia="zh-CN"/>
              </w:rPr>
              <w:t>2</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8E78">
            <w:pPr>
              <w:keepNext w:val="0"/>
              <w:keepLines w:val="0"/>
              <w:widowControl/>
              <w:suppressLineNumbers w:val="0"/>
              <w:jc w:val="center"/>
              <w:textAlignment w:val="auto"/>
              <w:rPr>
                <w:rFonts w:hint="eastAsia" w:ascii="Times New Roman" w:hAnsi="Times New Roman" w:eastAsia="仿宋_GB2312" w:cs="Times New Roman"/>
                <w:i w:val="0"/>
                <w:iCs w:val="0"/>
                <w:color w:val="auto"/>
                <w:sz w:val="24"/>
                <w:szCs w:val="24"/>
                <w:highlight w:val="none"/>
                <w:u w:val="none"/>
                <w:lang w:val="en-US" w:bidi="ar"/>
              </w:rPr>
            </w:pPr>
            <w:r>
              <w:rPr>
                <w:rFonts w:hint="eastAsia" w:ascii="Times New Roman" w:hAnsi="Times New Roman" w:eastAsia="仿宋_GB2312" w:cs="Times New Roman"/>
                <w:i w:val="0"/>
                <w:iCs w:val="0"/>
                <w:color w:val="auto"/>
                <w:kern w:val="2"/>
                <w:sz w:val="24"/>
                <w:szCs w:val="24"/>
                <w:highlight w:val="none"/>
                <w:u w:val="none"/>
                <w:lang w:val="en-US" w:eastAsia="zh-CN" w:bidi="ar"/>
              </w:rPr>
              <w:t>111</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9A6E">
            <w:pPr>
              <w:keepNext w:val="0"/>
              <w:keepLines w:val="0"/>
              <w:widowControl/>
              <w:suppressLineNumbers w:val="0"/>
              <w:spacing w:line="240" w:lineRule="auto"/>
              <w:jc w:val="center"/>
              <w:rPr>
                <w:rFonts w:hint="eastAsia" w:ascii="Times New Roman" w:hAnsi="Times New Roman" w:eastAsia="仿宋_GB2312" w:cs="Times New Roman"/>
                <w:i w:val="0"/>
                <w:iCs w:val="0"/>
                <w:color w:val="auto"/>
                <w:sz w:val="24"/>
                <w:szCs w:val="24"/>
                <w:highlight w:val="none"/>
                <w:u w:val="none"/>
                <w:lang w:val="en-US" w:bidi="ar"/>
              </w:rPr>
            </w:pPr>
            <w:r>
              <w:rPr>
                <w:rFonts w:hint="eastAsia" w:ascii="Times New Roman" w:hAnsi="Times New Roman" w:eastAsia="仿宋_GB2312" w:cs="Times New Roman"/>
                <w:i w:val="0"/>
                <w:iCs w:val="0"/>
                <w:caps w:val="0"/>
                <w:color w:val="auto"/>
                <w:spacing w:val="0"/>
                <w:kern w:val="2"/>
                <w:sz w:val="24"/>
                <w:szCs w:val="24"/>
                <w:highlight w:val="none"/>
                <w:u w:val="none"/>
                <w:lang w:val="en-US" w:eastAsia="zh-CN" w:bidi="ar"/>
              </w:rPr>
              <w:t>83.3～88.8</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5CF0">
            <w:pPr>
              <w:keepNext w:val="0"/>
              <w:keepLines w:val="0"/>
              <w:widowControl/>
              <w:suppressLineNumbers w:val="0"/>
              <w:spacing w:line="240" w:lineRule="auto"/>
              <w:jc w:val="center"/>
              <w:rPr>
                <w:rFonts w:hint="eastAsia" w:ascii="Times New Roman" w:hAnsi="Times New Roman" w:eastAsia="仿宋_GB2312" w:cs="Times New Roman"/>
                <w:i w:val="0"/>
                <w:iCs w:val="0"/>
                <w:color w:val="auto"/>
                <w:sz w:val="24"/>
                <w:szCs w:val="24"/>
                <w:highlight w:val="none"/>
                <w:u w:val="none"/>
                <w:lang w:val="en-US" w:bidi="ar"/>
              </w:rPr>
            </w:pPr>
            <w:r>
              <w:rPr>
                <w:rFonts w:hint="eastAsia" w:ascii="Times New Roman" w:hAnsi="Times New Roman" w:eastAsia="仿宋_GB2312" w:cs="Times New Roman"/>
                <w:i w:val="0"/>
                <w:iCs w:val="0"/>
                <w:caps w:val="0"/>
                <w:color w:val="auto"/>
                <w:spacing w:val="0"/>
                <w:kern w:val="2"/>
                <w:sz w:val="24"/>
                <w:szCs w:val="24"/>
                <w:highlight w:val="none"/>
                <w:u w:val="none"/>
                <w:lang w:val="en-US" w:eastAsia="zh-CN" w:bidi="ar"/>
              </w:rPr>
              <w:t>58.3～66.6</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424A">
            <w:pPr>
              <w:keepNext w:val="0"/>
              <w:keepLines w:val="0"/>
              <w:widowControl/>
              <w:suppressLineNumbers w:val="0"/>
              <w:spacing w:line="240" w:lineRule="auto"/>
              <w:jc w:val="center"/>
              <w:rPr>
                <w:rFonts w:hint="eastAsia" w:ascii="Times New Roman" w:hAnsi="Times New Roman" w:eastAsia="仿宋_GB2312" w:cs="Times New Roman"/>
                <w:i w:val="0"/>
                <w:iCs w:val="0"/>
                <w:color w:val="auto"/>
                <w:sz w:val="24"/>
                <w:szCs w:val="24"/>
                <w:highlight w:val="none"/>
                <w:u w:val="none"/>
                <w:lang w:val="en-US" w:bidi="ar"/>
              </w:rPr>
            </w:pPr>
            <w:r>
              <w:rPr>
                <w:rFonts w:hint="eastAsia" w:ascii="Times New Roman" w:hAnsi="Times New Roman" w:eastAsia="仿宋_GB2312" w:cs="Times New Roman"/>
                <w:i w:val="0"/>
                <w:iCs w:val="0"/>
                <w:caps w:val="0"/>
                <w:color w:val="auto"/>
                <w:spacing w:val="0"/>
                <w:kern w:val="2"/>
                <w:sz w:val="24"/>
                <w:szCs w:val="24"/>
                <w:highlight w:val="none"/>
                <w:u w:val="none"/>
                <w:lang w:val="en-US" w:eastAsia="zh-CN" w:bidi="ar"/>
              </w:rPr>
              <w:t>37.9～46.6</w:t>
            </w:r>
          </w:p>
        </w:tc>
      </w:tr>
      <w:tr w14:paraId="449A8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2A88">
            <w:pPr>
              <w:pStyle w:val="9"/>
              <w:ind w:left="0" w:leftChars="0" w:firstLine="0" w:firstLineChars="0"/>
              <w:jc w:val="center"/>
              <w:rPr>
                <w:rFonts w:hint="default" w:ascii="Times New Roman" w:hAnsi="Times New Roman" w:eastAsia="仿宋_GB2312" w:cs="Times New Roman"/>
                <w:b w:val="0"/>
                <w:bCs w:val="0"/>
                <w:i w:val="0"/>
                <w:iCs w:val="0"/>
                <w:color w:val="auto"/>
                <w:sz w:val="24"/>
                <w:szCs w:val="24"/>
                <w:highlight w:val="none"/>
                <w:u w:val="none"/>
              </w:rPr>
            </w:pPr>
            <w:r>
              <w:rPr>
                <w:rFonts w:hint="eastAsia" w:eastAsia="仿宋_GB2312" w:cs="Times New Roman"/>
                <w:sz w:val="24"/>
                <w:szCs w:val="24"/>
                <w:highlight w:val="none"/>
                <w:lang w:val="en-US" w:eastAsia="zh-CN"/>
              </w:rPr>
              <w:t>2</w:t>
            </w:r>
            <w:r>
              <w:rPr>
                <w:rFonts w:hint="default" w:ascii="Times New Roman" w:hAnsi="Times New Roman" w:eastAsia="仿宋_GB2312" w:cs="Times New Roman"/>
                <w:sz w:val="24"/>
                <w:szCs w:val="24"/>
                <w:highlight w:val="none"/>
              </w:rPr>
              <w:t>×</w:t>
            </w:r>
            <w:r>
              <w:rPr>
                <w:rFonts w:hint="default" w:ascii="Times New Roman" w:hAnsi="Times New Roman" w:eastAsia="仿宋_GB2312" w:cs="Times New Roman"/>
                <w:sz w:val="24"/>
                <w:szCs w:val="24"/>
                <w:highlight w:val="none"/>
                <w:lang w:val="en-US" w:eastAsia="zh-CN"/>
              </w:rPr>
              <w:t>2</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F473">
            <w:pPr>
              <w:keepNext w:val="0"/>
              <w:keepLines w:val="0"/>
              <w:widowControl/>
              <w:suppressLineNumbers w:val="0"/>
              <w:jc w:val="center"/>
              <w:textAlignment w:val="auto"/>
              <w:rPr>
                <w:rFonts w:hint="eastAsia" w:ascii="Times New Roman" w:hAnsi="Times New Roman" w:eastAsia="仿宋_GB2312" w:cs="Times New Roman"/>
                <w:i w:val="0"/>
                <w:iCs w:val="0"/>
                <w:color w:val="auto"/>
                <w:sz w:val="24"/>
                <w:szCs w:val="24"/>
                <w:highlight w:val="none"/>
                <w:u w:val="none"/>
                <w:lang w:val="en-US" w:bidi="ar"/>
              </w:rPr>
            </w:pPr>
            <w:r>
              <w:rPr>
                <w:rFonts w:hint="eastAsia" w:ascii="Times New Roman" w:hAnsi="Times New Roman" w:eastAsia="仿宋_GB2312" w:cs="Times New Roman"/>
                <w:i w:val="0"/>
                <w:iCs w:val="0"/>
                <w:color w:val="auto"/>
                <w:kern w:val="2"/>
                <w:sz w:val="24"/>
                <w:szCs w:val="24"/>
                <w:highlight w:val="none"/>
                <w:u w:val="none"/>
                <w:lang w:val="en-US" w:eastAsia="zh-CN" w:bidi="ar"/>
              </w:rPr>
              <w:t>1</w:t>
            </w:r>
            <w:r>
              <w:rPr>
                <w:rFonts w:hint="eastAsia" w:ascii="Times New Roman" w:hAnsi="Times New Roman" w:eastAsia="仿宋_GB2312" w:cs="Times New Roman"/>
                <w:i w:val="0"/>
                <w:iCs w:val="0"/>
                <w:color w:val="auto"/>
                <w:kern w:val="2"/>
                <w:sz w:val="24"/>
                <w:szCs w:val="24"/>
                <w:highlight w:val="none"/>
                <w:u w:val="none"/>
                <w:lang w:val="en-US" w:eastAsia="zh-CN" w:bidi="ar"/>
              </w:rPr>
              <w:t>67</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CAF4">
            <w:pPr>
              <w:keepNext w:val="0"/>
              <w:keepLines w:val="0"/>
              <w:widowControl/>
              <w:suppressLineNumbers w:val="0"/>
              <w:spacing w:line="240" w:lineRule="auto"/>
              <w:jc w:val="center"/>
              <w:rPr>
                <w:rFonts w:hint="eastAsia" w:ascii="Times New Roman" w:hAnsi="Times New Roman" w:eastAsia="仿宋_GB2312" w:cs="Times New Roman"/>
                <w:i w:val="0"/>
                <w:iCs w:val="0"/>
                <w:color w:val="auto"/>
                <w:sz w:val="24"/>
                <w:szCs w:val="24"/>
                <w:highlight w:val="none"/>
                <w:u w:val="none"/>
                <w:lang w:bidi="ar"/>
              </w:rPr>
            </w:pPr>
            <w:r>
              <w:rPr>
                <w:rFonts w:hint="eastAsia" w:ascii="Times New Roman" w:hAnsi="Times New Roman" w:eastAsia="仿宋_GB2312" w:cs="Times New Roman"/>
                <w:i w:val="0"/>
                <w:iCs w:val="0"/>
                <w:caps w:val="0"/>
                <w:color w:val="auto"/>
                <w:spacing w:val="0"/>
                <w:kern w:val="2"/>
                <w:sz w:val="24"/>
                <w:szCs w:val="24"/>
                <w:highlight w:val="none"/>
                <w:u w:val="none"/>
                <w:lang w:val="en-US" w:eastAsia="zh-CN" w:bidi="ar"/>
              </w:rPr>
              <w:t>108.6～116.9</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92FB">
            <w:pPr>
              <w:keepNext w:val="0"/>
              <w:keepLines w:val="0"/>
              <w:widowControl/>
              <w:suppressLineNumbers w:val="0"/>
              <w:spacing w:line="240" w:lineRule="auto"/>
              <w:jc w:val="center"/>
              <w:rPr>
                <w:rFonts w:hint="eastAsia" w:ascii="Times New Roman" w:hAnsi="Times New Roman" w:eastAsia="仿宋_GB2312" w:cs="Times New Roman"/>
                <w:i w:val="0"/>
                <w:iCs w:val="0"/>
                <w:color w:val="auto"/>
                <w:sz w:val="24"/>
                <w:szCs w:val="24"/>
                <w:highlight w:val="none"/>
                <w:u w:val="none"/>
                <w:lang w:bidi="ar"/>
              </w:rPr>
            </w:pPr>
            <w:r>
              <w:rPr>
                <w:rFonts w:hint="eastAsia" w:ascii="Times New Roman" w:hAnsi="Times New Roman" w:eastAsia="仿宋_GB2312" w:cs="Times New Roman"/>
                <w:i w:val="0"/>
                <w:iCs w:val="0"/>
                <w:caps w:val="0"/>
                <w:color w:val="auto"/>
                <w:spacing w:val="0"/>
                <w:kern w:val="2"/>
                <w:sz w:val="24"/>
                <w:szCs w:val="24"/>
                <w:highlight w:val="none"/>
                <w:u w:val="none"/>
                <w:lang w:val="en-US" w:eastAsia="zh-CN" w:bidi="ar"/>
              </w:rPr>
              <w:t>70.6～81.8</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6C35">
            <w:pPr>
              <w:keepNext w:val="0"/>
              <w:keepLines w:val="0"/>
              <w:widowControl/>
              <w:suppressLineNumbers w:val="0"/>
              <w:spacing w:line="240" w:lineRule="auto"/>
              <w:jc w:val="center"/>
              <w:rPr>
                <w:rFonts w:hint="eastAsia" w:ascii="Times New Roman" w:hAnsi="Times New Roman" w:eastAsia="仿宋_GB2312" w:cs="Times New Roman"/>
                <w:i w:val="0"/>
                <w:iCs w:val="0"/>
                <w:color w:val="auto"/>
                <w:sz w:val="24"/>
                <w:szCs w:val="24"/>
                <w:highlight w:val="none"/>
                <w:u w:val="none"/>
                <w:lang w:val="en-US" w:bidi="ar"/>
              </w:rPr>
            </w:pPr>
            <w:r>
              <w:rPr>
                <w:rFonts w:hint="eastAsia" w:ascii="Times New Roman" w:hAnsi="Times New Roman" w:eastAsia="仿宋_GB2312" w:cs="Times New Roman"/>
                <w:i w:val="0"/>
                <w:iCs w:val="0"/>
                <w:caps w:val="0"/>
                <w:color w:val="auto"/>
                <w:spacing w:val="0"/>
                <w:kern w:val="2"/>
                <w:sz w:val="24"/>
                <w:szCs w:val="24"/>
                <w:highlight w:val="none"/>
                <w:u w:val="none"/>
                <w:lang w:val="en-US" w:eastAsia="zh-CN" w:bidi="ar"/>
              </w:rPr>
              <w:t>38.8～49.1</w:t>
            </w:r>
          </w:p>
        </w:tc>
      </w:tr>
    </w:tbl>
    <w:p w14:paraId="2234CB2E">
      <w:pPr>
        <w:keepNext w:val="0"/>
        <w:keepLines w:val="0"/>
        <w:pageBreakBefore w:val="0"/>
        <w:widowControl w:val="0"/>
        <w:kinsoku/>
        <w:wordWrap/>
        <w:overflowPunct/>
        <w:topLinePunct w:val="0"/>
        <w:bidi w:val="0"/>
        <w:spacing w:after="78" w:afterLines="25" w:line="600"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⑦轮伐期</w:t>
      </w:r>
      <w:r>
        <w:rPr>
          <w:rFonts w:hint="default" w:ascii="Times New Roman" w:hAnsi="Times New Roman" w:eastAsia="仿宋_GB2312" w:cs="Times New Roman"/>
          <w:sz w:val="30"/>
          <w:szCs w:val="30"/>
          <w:lang w:eastAsia="zh-CN"/>
        </w:rPr>
        <w:t>确定：</w:t>
      </w:r>
      <w:r>
        <w:rPr>
          <w:rFonts w:hint="default" w:ascii="Times New Roman" w:hAnsi="Times New Roman" w:eastAsia="仿宋_GB2312" w:cs="Times New Roman"/>
          <w:sz w:val="30"/>
          <w:szCs w:val="30"/>
        </w:rPr>
        <w:t>在木荷的生长量和生物量研究方面研究报道</w:t>
      </w:r>
      <w:r>
        <w:rPr>
          <w:rFonts w:hint="default" w:ascii="Times New Roman" w:hAnsi="Times New Roman" w:eastAsia="仿宋_GB2312" w:cs="Times New Roman"/>
          <w:sz w:val="30"/>
          <w:szCs w:val="30"/>
          <w:lang w:val="en-US" w:eastAsia="zh-CN"/>
        </w:rPr>
        <w:t>较多</w:t>
      </w:r>
      <w:r>
        <w:rPr>
          <w:rFonts w:hint="default"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林通、曾永祥、程煜等人开展了木荷一元材积表、地径材积表、木荷林分出材率表、木荷二元材积表的研制、刘敬灶开展木荷人工林相对树高曲线模型的研究、赵亮开展了木荷人工林干物质积累和结构研究、程煜等开展木荷地上部分生物量分布特征与生产力研究、刘其文开展木荷人工林经营效果分析、林春悌研究了木荷人工林生长发育规律</w:t>
      </w:r>
      <w:r>
        <w:rPr>
          <w:rFonts w:hint="default" w:ascii="Times New Roman" w:hAnsi="Times New Roman" w:eastAsia="仿宋_GB2312" w:cs="Times New Roman"/>
          <w:sz w:val="30"/>
          <w:szCs w:val="30"/>
          <w:lang w:eastAsia="zh-CN"/>
        </w:rPr>
        <w:t>，结合优树采集数据和东江林场等调查数据，</w:t>
      </w:r>
      <w:r>
        <w:rPr>
          <w:rFonts w:hint="default" w:ascii="Times New Roman" w:hAnsi="Times New Roman" w:eastAsia="仿宋_GB2312" w:cs="Times New Roman"/>
          <w:sz w:val="30"/>
          <w:szCs w:val="30"/>
          <w:lang w:val="en-US" w:eastAsia="zh-CN"/>
        </w:rPr>
        <w:t>30年</w:t>
      </w:r>
      <w:r>
        <w:rPr>
          <w:rFonts w:hint="default" w:ascii="Times New Roman" w:hAnsi="Times New Roman" w:eastAsia="仿宋_GB2312" w:cs="Times New Roman"/>
          <w:b w:val="0"/>
          <w:bCs/>
          <w:sz w:val="30"/>
          <w:szCs w:val="30"/>
          <w:lang w:val="en-US" w:eastAsia="zh-CN"/>
        </w:rPr>
        <w:t>~35年，木荷平均胸径可达到26 cm以上</w:t>
      </w:r>
      <w:r>
        <w:rPr>
          <w:rFonts w:hint="default" w:ascii="Times New Roman" w:hAnsi="Times New Roman" w:eastAsia="仿宋_GB2312" w:cs="Times New Roman"/>
          <w:sz w:val="30"/>
          <w:szCs w:val="30"/>
        </w:rPr>
        <w:t>。</w:t>
      </w:r>
    </w:p>
    <w:p w14:paraId="2E52AE2C">
      <w:pPr>
        <w:numPr>
          <w:ilvl w:val="0"/>
          <w:numId w:val="0"/>
        </w:numPr>
        <w:adjustRightInd w:val="0"/>
        <w:snapToGrid w:val="0"/>
        <w:spacing w:line="360" w:lineRule="auto"/>
        <w:ind w:leftChars="0"/>
        <w:jc w:val="both"/>
        <w:rPr>
          <w:rFonts w:hint="eastAsia" w:eastAsia="黑体"/>
          <w:b w:val="0"/>
          <w:bCs/>
          <w:sz w:val="30"/>
          <w:szCs w:val="30"/>
        </w:rPr>
      </w:pPr>
    </w:p>
    <w:p w14:paraId="7FE3A7FC">
      <w:pPr>
        <w:adjustRightInd w:val="0"/>
        <w:snapToGrid w:val="0"/>
        <w:spacing w:line="360" w:lineRule="auto"/>
        <w:jc w:val="both"/>
        <w:rPr>
          <w:rFonts w:hint="eastAsia" w:eastAsia="黑体"/>
          <w:b w:val="0"/>
          <w:bCs/>
          <w:sz w:val="30"/>
          <w:szCs w:val="30"/>
        </w:rPr>
      </w:pPr>
      <w:r>
        <w:rPr>
          <w:rFonts w:hint="eastAsia" w:eastAsia="黑体"/>
          <w:b w:val="0"/>
          <w:bCs/>
          <w:sz w:val="30"/>
          <w:szCs w:val="30"/>
          <w:lang w:val="en-US" w:eastAsia="zh-CN"/>
        </w:rPr>
        <w:t>八、</w:t>
      </w:r>
      <w:r>
        <w:rPr>
          <w:rFonts w:hint="eastAsia" w:eastAsia="黑体"/>
          <w:b w:val="0"/>
          <w:bCs/>
          <w:sz w:val="30"/>
          <w:szCs w:val="30"/>
        </w:rPr>
        <w:t>与国际、国家、行业、其他省同类标准技术内容的对比情况，或者与测试的国外样品、样机的有关数据对比情况。采标情况，以及是否合规引用或采用国际国外标准。</w:t>
      </w:r>
    </w:p>
    <w:p w14:paraId="494FF5C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木荷为我国南方地区的乡土阔叶树种，目前现有木荷相关标准均为国内标准，如LY/T 2037-2012《木荷培育技术规程》、LY/T 2328-2014《木荷防火林带营建技术规程》、LY/T 2660-2016《立木生物量模型及碳计量参数木荷》、LY/T 2813-2017《木荷防火林带造林技术规程》等中国林业行业标准，其他南方省市制定了木荷相关的地方标准，其中江西省地方标准《木荷苗木培育技术规程》（DB36/T 541-2008）属于木荷培育规程方面标准，目前尚未制定木荷大径材培育的国家标准、行业标准或地方标准，也没有可采用的国际标准。</w:t>
      </w:r>
    </w:p>
    <w:p w14:paraId="52BE59F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default" w:ascii="Times New Roman" w:hAnsi="Times New Roman" w:eastAsia="仿宋_GB2312" w:cs="Times New Roman"/>
          <w:b w:val="0"/>
          <w:bCs/>
          <w:sz w:val="30"/>
          <w:szCs w:val="30"/>
          <w:lang w:val="en-US" w:eastAsia="zh-CN"/>
        </w:rPr>
      </w:pPr>
      <w:r>
        <w:rPr>
          <w:rFonts w:hint="default" w:ascii="Times New Roman" w:hAnsi="Times New Roman" w:eastAsia="仿宋_GB2312" w:cs="Times New Roman"/>
          <w:b w:val="0"/>
          <w:bCs/>
          <w:sz w:val="30"/>
          <w:szCs w:val="30"/>
          <w:lang w:val="en-US" w:eastAsia="zh-CN"/>
        </w:rPr>
        <w:t>本标准主要体现广东省木荷大径材培育的特殊性和区域性，并注重实用性和可操作性，符合广东省实情。</w:t>
      </w:r>
    </w:p>
    <w:p w14:paraId="68311D2D">
      <w:pPr>
        <w:numPr>
          <w:ilvl w:val="0"/>
          <w:numId w:val="3"/>
        </w:numPr>
        <w:adjustRightInd w:val="0"/>
        <w:snapToGrid w:val="0"/>
        <w:spacing w:line="360" w:lineRule="auto"/>
        <w:jc w:val="both"/>
        <w:rPr>
          <w:rFonts w:hint="eastAsia" w:eastAsia="黑体"/>
          <w:b w:val="0"/>
          <w:bCs/>
          <w:sz w:val="30"/>
          <w:szCs w:val="30"/>
        </w:rPr>
      </w:pPr>
      <w:r>
        <w:rPr>
          <w:rFonts w:hint="eastAsia" w:eastAsia="黑体"/>
          <w:b w:val="0"/>
          <w:bCs/>
          <w:sz w:val="30"/>
          <w:szCs w:val="30"/>
        </w:rPr>
        <w:t>涉及专利的有关说明。</w:t>
      </w:r>
    </w:p>
    <w:p w14:paraId="22D78BA2">
      <w:pPr>
        <w:spacing w:line="520" w:lineRule="exact"/>
        <w:ind w:right="-153" w:firstLine="600" w:firstLineChars="200"/>
        <w:rPr>
          <w:rFonts w:hint="eastAsia" w:eastAsia="仿宋" w:cs="仿宋"/>
          <w:b w:val="0"/>
          <w:bCs/>
          <w:sz w:val="30"/>
          <w:szCs w:val="30"/>
        </w:rPr>
      </w:pPr>
      <w:r>
        <w:rPr>
          <w:rFonts w:hint="eastAsia" w:ascii="Times New Roman" w:hAnsi="Times New Roman" w:eastAsia="仿宋" w:cs="仿宋"/>
          <w:b w:val="0"/>
          <w:bCs/>
          <w:sz w:val="30"/>
          <w:szCs w:val="30"/>
        </w:rPr>
        <w:t>无。</w:t>
      </w:r>
    </w:p>
    <w:p w14:paraId="74DD2466">
      <w:pPr>
        <w:numPr>
          <w:ilvl w:val="0"/>
          <w:numId w:val="3"/>
        </w:numPr>
        <w:adjustRightInd w:val="0"/>
        <w:snapToGrid w:val="0"/>
        <w:spacing w:line="360" w:lineRule="auto"/>
        <w:jc w:val="both"/>
        <w:rPr>
          <w:rFonts w:hint="eastAsia" w:eastAsia="黑体"/>
          <w:b w:val="0"/>
          <w:bCs/>
          <w:sz w:val="30"/>
          <w:szCs w:val="30"/>
        </w:rPr>
      </w:pPr>
      <w:r>
        <w:rPr>
          <w:rFonts w:hint="eastAsia" w:eastAsia="黑体"/>
          <w:b w:val="0"/>
          <w:bCs/>
          <w:sz w:val="30"/>
          <w:szCs w:val="30"/>
        </w:rPr>
        <w:t>报批阶段应补充专家审定会情况。</w:t>
      </w:r>
    </w:p>
    <w:p w14:paraId="0A15B5D4">
      <w:pPr>
        <w:numPr>
          <w:ilvl w:val="0"/>
          <w:numId w:val="0"/>
        </w:numPr>
        <w:adjustRightInd w:val="0"/>
        <w:snapToGrid w:val="0"/>
        <w:spacing w:line="360" w:lineRule="auto"/>
        <w:ind w:leftChars="0"/>
        <w:jc w:val="both"/>
        <w:rPr>
          <w:rFonts w:hint="eastAsia" w:eastAsia="黑体"/>
          <w:b w:val="0"/>
          <w:bCs/>
          <w:sz w:val="30"/>
          <w:szCs w:val="30"/>
        </w:rPr>
      </w:pPr>
    </w:p>
    <w:p w14:paraId="57168ED1">
      <w:pPr>
        <w:numPr>
          <w:ilvl w:val="0"/>
          <w:numId w:val="3"/>
        </w:numPr>
        <w:adjustRightInd w:val="0"/>
        <w:snapToGrid w:val="0"/>
        <w:spacing w:line="360" w:lineRule="auto"/>
        <w:jc w:val="both"/>
        <w:rPr>
          <w:rFonts w:hint="eastAsia" w:eastAsia="黑体"/>
          <w:b w:val="0"/>
          <w:bCs/>
          <w:sz w:val="30"/>
          <w:szCs w:val="30"/>
          <w:lang w:eastAsia="zh-CN"/>
        </w:rPr>
      </w:pPr>
      <w:r>
        <w:rPr>
          <w:rFonts w:hint="eastAsia" w:eastAsia="黑体"/>
          <w:b w:val="0"/>
          <w:bCs/>
          <w:sz w:val="30"/>
          <w:szCs w:val="30"/>
        </w:rPr>
        <w:t>标准名称变更应详细说明理由并单独拟文申请</w:t>
      </w:r>
      <w:r>
        <w:rPr>
          <w:rFonts w:hint="eastAsia" w:eastAsia="黑体"/>
          <w:b w:val="0"/>
          <w:bCs/>
          <w:sz w:val="30"/>
          <w:szCs w:val="30"/>
          <w:lang w:eastAsia="zh-CN"/>
        </w:rPr>
        <w:t>。</w:t>
      </w:r>
    </w:p>
    <w:p w14:paraId="21CAB254">
      <w:pPr>
        <w:spacing w:line="520" w:lineRule="exact"/>
        <w:ind w:right="-153" w:firstLine="600" w:firstLineChars="200"/>
        <w:rPr>
          <w:rFonts w:hint="eastAsia" w:eastAsia="仿宋" w:cs="仿宋"/>
          <w:b w:val="0"/>
          <w:bCs/>
          <w:sz w:val="30"/>
          <w:szCs w:val="30"/>
        </w:rPr>
      </w:pPr>
      <w:r>
        <w:rPr>
          <w:rFonts w:hint="eastAsia" w:ascii="Times New Roman" w:hAnsi="Times New Roman" w:eastAsia="仿宋" w:cs="仿宋"/>
          <w:b w:val="0"/>
          <w:bCs/>
          <w:sz w:val="30"/>
          <w:szCs w:val="30"/>
        </w:rPr>
        <w:t>无。</w:t>
      </w:r>
    </w:p>
    <w:p w14:paraId="7294E734">
      <w:pPr>
        <w:numPr>
          <w:ilvl w:val="0"/>
          <w:numId w:val="3"/>
        </w:numPr>
        <w:adjustRightInd w:val="0"/>
        <w:snapToGrid w:val="0"/>
        <w:spacing w:line="360" w:lineRule="auto"/>
        <w:jc w:val="both"/>
        <w:rPr>
          <w:rFonts w:hint="eastAsia" w:eastAsia="黑体"/>
          <w:b w:val="0"/>
          <w:bCs/>
          <w:sz w:val="30"/>
          <w:szCs w:val="30"/>
        </w:rPr>
      </w:pPr>
      <w:r>
        <w:rPr>
          <w:rFonts w:hint="eastAsia" w:eastAsia="黑体"/>
          <w:b w:val="0"/>
          <w:bCs/>
          <w:sz w:val="30"/>
          <w:szCs w:val="30"/>
        </w:rPr>
        <w:t>编制单位增减应予说明增减原因并单独拟文申请。</w:t>
      </w:r>
    </w:p>
    <w:p w14:paraId="529AE6BB">
      <w:pPr>
        <w:spacing w:line="520" w:lineRule="exact"/>
        <w:ind w:right="-153" w:firstLine="600" w:firstLineChars="200"/>
        <w:rPr>
          <w:rFonts w:hint="eastAsia" w:eastAsia="仿宋" w:cs="仿宋"/>
          <w:b w:val="0"/>
          <w:bCs/>
          <w:sz w:val="30"/>
          <w:szCs w:val="30"/>
        </w:rPr>
      </w:pPr>
      <w:r>
        <w:rPr>
          <w:rFonts w:hint="eastAsia" w:ascii="Times New Roman" w:hAnsi="Times New Roman" w:eastAsia="仿宋" w:cs="仿宋"/>
          <w:b w:val="0"/>
          <w:bCs/>
          <w:sz w:val="30"/>
          <w:szCs w:val="30"/>
        </w:rPr>
        <w:t>无。</w:t>
      </w:r>
    </w:p>
    <w:p w14:paraId="183EEC48">
      <w:pPr>
        <w:numPr>
          <w:ilvl w:val="0"/>
          <w:numId w:val="3"/>
        </w:numPr>
        <w:adjustRightInd w:val="0"/>
        <w:snapToGrid w:val="0"/>
        <w:spacing w:line="360" w:lineRule="auto"/>
        <w:jc w:val="both"/>
        <w:rPr>
          <w:rFonts w:hint="eastAsia" w:eastAsia="黑体"/>
          <w:b w:val="0"/>
          <w:bCs/>
          <w:sz w:val="30"/>
          <w:szCs w:val="30"/>
        </w:rPr>
      </w:pPr>
      <w:r>
        <w:rPr>
          <w:rFonts w:hint="eastAsia" w:eastAsia="黑体"/>
          <w:b w:val="0"/>
          <w:bCs/>
          <w:sz w:val="30"/>
          <w:szCs w:val="30"/>
        </w:rPr>
        <w:t>其他应当说明的事项。</w:t>
      </w:r>
    </w:p>
    <w:p w14:paraId="359179A1">
      <w:pPr>
        <w:spacing w:line="520" w:lineRule="exact"/>
        <w:ind w:right="-153" w:firstLine="600" w:firstLineChars="200"/>
        <w:rPr>
          <w:rFonts w:hint="eastAsia" w:eastAsia="仿宋" w:cs="仿宋"/>
          <w:b w:val="0"/>
          <w:bCs/>
          <w:sz w:val="30"/>
          <w:szCs w:val="30"/>
        </w:rPr>
      </w:pPr>
      <w:r>
        <w:rPr>
          <w:rFonts w:hint="eastAsia" w:ascii="Times New Roman" w:hAnsi="Times New Roman" w:eastAsia="仿宋" w:cs="仿宋"/>
          <w:b w:val="0"/>
          <w:bCs/>
          <w:sz w:val="30"/>
          <w:szCs w:val="30"/>
        </w:rPr>
        <w:t>无。</w:t>
      </w:r>
    </w:p>
    <w:p w14:paraId="305FD140">
      <w:pPr>
        <w:numPr>
          <w:ilvl w:val="0"/>
          <w:numId w:val="3"/>
        </w:numPr>
        <w:adjustRightInd w:val="0"/>
        <w:snapToGrid w:val="0"/>
        <w:spacing w:line="360" w:lineRule="auto"/>
        <w:jc w:val="both"/>
        <w:rPr>
          <w:rFonts w:hint="eastAsia" w:eastAsia="黑体"/>
          <w:b w:val="0"/>
          <w:bCs/>
          <w:sz w:val="30"/>
          <w:szCs w:val="30"/>
        </w:rPr>
      </w:pPr>
      <w:r>
        <w:rPr>
          <w:rFonts w:hint="eastAsia" w:eastAsia="黑体"/>
          <w:b w:val="0"/>
          <w:bCs/>
          <w:sz w:val="30"/>
          <w:szCs w:val="30"/>
        </w:rPr>
        <w:t>贯彻标准</w:t>
      </w:r>
      <w:r>
        <w:rPr>
          <w:rFonts w:hint="eastAsia" w:eastAsia="黑体"/>
          <w:b w:val="0"/>
          <w:bCs/>
          <w:sz w:val="30"/>
          <w:szCs w:val="30"/>
          <w:lang w:val="en-US" w:eastAsia="zh-CN"/>
        </w:rPr>
        <w:t>实施</w:t>
      </w:r>
      <w:r>
        <w:rPr>
          <w:rFonts w:hint="eastAsia" w:eastAsia="黑体"/>
          <w:b w:val="0"/>
          <w:bCs/>
          <w:sz w:val="30"/>
          <w:szCs w:val="30"/>
        </w:rPr>
        <w:t>的要求，以及组织措施、技术措施、过渡期和实施日期等建议。</w:t>
      </w:r>
    </w:p>
    <w:p w14:paraId="5B68801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0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0"/>
          <w:szCs w:val="30"/>
        </w:rPr>
        <w:t>本标准属于推荐性标准，</w:t>
      </w:r>
      <w:r>
        <w:rPr>
          <w:rFonts w:hint="eastAsia" w:ascii="仿宋_GB2312" w:hAnsi="仿宋_GB2312" w:eastAsia="仿宋_GB2312" w:cs="仿宋_GB2312"/>
          <w:b w:val="0"/>
          <w:bCs/>
          <w:sz w:val="30"/>
          <w:szCs w:val="30"/>
          <w:lang w:val="en-US" w:eastAsia="zh-CN"/>
        </w:rPr>
        <w:t>标准颁布后，建议省市有关单位开展标准推广工作，让基层技术人员、林业公司、林农知晓熟悉该项标准，在实践中自觉执行规程，规范木荷大径材的培育，从而推动木荷大径材的人工种植，建立规范化种植示范基地，达到将标准转化为生产力的目的。同时，作为推荐性标准，可供各地级以上市、县（市、区）、镇（街道、社区）和种植户结合当地实际，在实施绿美广东生态建设的森林质量精准提升行动中参照实施。</w:t>
      </w:r>
    </w:p>
    <w:p w14:paraId="61D7E312"/>
    <w:p w14:paraId="220AAB2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7F58F4-5A63-4CA9-81C0-0737465300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940F3EBA-622D-4671-8274-99CDF13FCC54}"/>
  </w:font>
  <w:font w:name="仿宋_GB2312">
    <w:panose1 w:val="02010609030101010101"/>
    <w:charset w:val="86"/>
    <w:family w:val="auto"/>
    <w:pitch w:val="default"/>
    <w:sig w:usb0="00000001" w:usb1="080E0000" w:usb2="00000000" w:usb3="00000000" w:csb0="00040000" w:csb1="00000000"/>
    <w:embedRegular r:id="rId3" w:fontKey="{03F5CECB-0FB1-4F4D-BCEF-89C1046E642D}"/>
  </w:font>
  <w:font w:name="方正仿宋_GBK">
    <w:panose1 w:val="02000000000000000000"/>
    <w:charset w:val="86"/>
    <w:family w:val="auto"/>
    <w:pitch w:val="default"/>
    <w:sig w:usb0="A00002BF" w:usb1="38CF7CFA" w:usb2="00082016" w:usb3="00000000" w:csb0="00040001" w:csb1="00000000"/>
    <w:embedRegular r:id="rId4" w:fontKey="{7D15193D-7B5E-4352-BF3A-1885EF9D9ADD}"/>
  </w:font>
  <w:font w:name="楷体_GB2312">
    <w:panose1 w:val="02010609030101010101"/>
    <w:charset w:val="86"/>
    <w:family w:val="auto"/>
    <w:pitch w:val="default"/>
    <w:sig w:usb0="00000001" w:usb1="080E0000" w:usb2="00000000" w:usb3="00000000" w:csb0="00040000" w:csb1="00000000"/>
    <w:embedRegular r:id="rId5" w:fontKey="{763DFCB3-C1A6-4261-BD51-27DA8EED1B6F}"/>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174E5"/>
    <w:multiLevelType w:val="singleLevel"/>
    <w:tmpl w:val="CC7174E5"/>
    <w:lvl w:ilvl="0" w:tentative="0">
      <w:start w:val="9"/>
      <w:numFmt w:val="chineseCounting"/>
      <w:suff w:val="nothing"/>
      <w:lvlText w:val="%1、"/>
      <w:lvlJc w:val="left"/>
      <w:rPr>
        <w:rFonts w:hint="eastAsia"/>
      </w:rPr>
    </w:lvl>
  </w:abstractNum>
  <w:abstractNum w:abstractNumId="1">
    <w:nsid w:val="2CF02EE4"/>
    <w:multiLevelType w:val="singleLevel"/>
    <w:tmpl w:val="2CF02EE4"/>
    <w:lvl w:ilvl="0" w:tentative="0">
      <w:start w:val="2"/>
      <w:numFmt w:val="decimal"/>
      <w:suff w:val="space"/>
      <w:lvlText w:val="%1."/>
      <w:lvlJc w:val="left"/>
    </w:lvl>
  </w:abstractNum>
  <w:abstractNum w:abstractNumId="2">
    <w:nsid w:val="73AC68C4"/>
    <w:multiLevelType w:val="singleLevel"/>
    <w:tmpl w:val="73AC68C4"/>
    <w:lvl w:ilvl="0" w:tentative="0">
      <w:start w:val="1"/>
      <w:numFmt w:val="decimal"/>
      <w:suff w:val="space"/>
      <w:lvlText w:val="%1."/>
      <w:lvlJc w:val="left"/>
      <w:rPr>
        <w:rFonts w:hint="default"/>
        <w:b/>
        <w:bC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hMDhjMzM0ODJkMGM5YTY3NTgyMWRjODVjN2ZlZmQifQ=="/>
  </w:docVars>
  <w:rsids>
    <w:rsidRoot w:val="5CA80159"/>
    <w:rsid w:val="04884599"/>
    <w:rsid w:val="1A7E707D"/>
    <w:rsid w:val="1A935601"/>
    <w:rsid w:val="1C1403FC"/>
    <w:rsid w:val="21D34307"/>
    <w:rsid w:val="34B74A2A"/>
    <w:rsid w:val="35F0475A"/>
    <w:rsid w:val="3D9331C7"/>
    <w:rsid w:val="5BED2615"/>
    <w:rsid w:val="5CA80159"/>
    <w:rsid w:val="677F4A8D"/>
    <w:rsid w:val="702A4AD6"/>
    <w:rsid w:val="7254544A"/>
    <w:rsid w:val="7F504096"/>
    <w:rsid w:val="E5FF5DE5"/>
    <w:rsid w:val="FEB72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Title"/>
    <w:basedOn w:val="1"/>
    <w:next w:val="1"/>
    <w:qFormat/>
    <w:uiPriority w:val="0"/>
    <w:pPr>
      <w:spacing w:before="240" w:after="60"/>
      <w:jc w:val="center"/>
      <w:outlineLvl w:val="0"/>
    </w:pPr>
    <w:rPr>
      <w:rFonts w:ascii="Arial" w:hAnsi="Arial" w:cs="Arial"/>
      <w:b/>
      <w:bCs/>
      <w:sz w:val="32"/>
      <w:szCs w:val="32"/>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8">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9">
    <w:name w:val="Table Paragraph"/>
    <w:basedOn w:val="1"/>
    <w:qFormat/>
    <w:uiPriority w:val="1"/>
    <w:pPr>
      <w:spacing w:before="59"/>
      <w:ind w:left="527"/>
    </w:pPr>
    <w:rPr>
      <w:rFonts w:ascii="Times New Roman" w:hAnsi="Times New Roman" w:eastAsia="Times New Roman" w:cs="Times New Roman"/>
    </w:rPr>
  </w:style>
  <w:style w:type="paragraph" w:customStyle="1" w:styleId="10">
    <w:name w:val="表格正文"/>
    <w:basedOn w:val="1"/>
    <w:qFormat/>
    <w:uiPriority w:val="0"/>
    <w:rPr>
      <w:rFonts w:ascii="宋体"/>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5673</Words>
  <Characters>6188</Characters>
  <Lines>0</Lines>
  <Paragraphs>0</Paragraphs>
  <TotalTime>10</TotalTime>
  <ScaleCrop>false</ScaleCrop>
  <LinksUpToDate>false</LinksUpToDate>
  <CharactersWithSpaces>6242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2023-07-03T23:55:00Z</dcterms:created>
  <dc:creator>Lenovo</dc:creator>
  <cp:lastModifiedBy>尧俊</cp:lastModifiedBy>
  <dcterms:modified xsi:type="dcterms:W3CDTF">2026-10-22T09:13:59Z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FE271ECDD9284399808FC64DF1805646</vt:lpwstr>
  </property>
  <property fmtid="{D5CDD505-2E9C-101B-9397-08002B2CF9AE}" pid="4" name="ribbonExt">
    <vt:lpwstr>{"WPSExtOfficeTab":{"OnGetEnabled":false,"OnGetVisible":false}}</vt:lpwstr>
  </property>
  <property fmtid="{D5CDD505-2E9C-101B-9397-08002B2CF9AE}" pid="5" name="KSOTemplateDocerSaveRecord">
    <vt:lpwstr>eyJoZGlkIjoiYjI1YzA2MjQzNzVkNzc4OGFlMzNiYWQzMjMwZTIxYjAiLCJ1c2VySWQiOiI0MDkxMDcxNzQifQ==</vt:lpwstr>
  </property>
</Properties>
</file>