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93AAE">
      <w:pPr>
        <w:jc w:val="center"/>
        <w:rPr>
          <w:rFonts w:hint="default" w:ascii="Times New Roman" w:hAnsi="Times New Roman" w:eastAsia="方正小标宋简体" w:cs="Times New Roman"/>
          <w:sz w:val="36"/>
          <w:szCs w:val="36"/>
        </w:rPr>
      </w:pPr>
    </w:p>
    <w:p w14:paraId="485CEE57">
      <w:pPr>
        <w:jc w:val="center"/>
        <w:rPr>
          <w:rFonts w:hint="default" w:ascii="Times New Roman" w:hAnsi="Times New Roman" w:eastAsia="方正小标宋简体" w:cs="Times New Roman"/>
          <w:sz w:val="36"/>
          <w:szCs w:val="36"/>
        </w:rPr>
      </w:pPr>
    </w:p>
    <w:p w14:paraId="3030643C">
      <w:pPr>
        <w:jc w:val="center"/>
        <w:rPr>
          <w:rFonts w:hint="default" w:ascii="Times New Roman" w:hAnsi="Times New Roman" w:eastAsia="方正小标宋简体" w:cs="Times New Roman"/>
          <w:sz w:val="36"/>
          <w:szCs w:val="36"/>
        </w:rPr>
      </w:pPr>
    </w:p>
    <w:p w14:paraId="4B822976">
      <w:pPr>
        <w:adjustRightInd w:val="0"/>
        <w:snapToGrid w:val="0"/>
        <w:spacing w:line="560" w:lineRule="exact"/>
        <w:jc w:val="center"/>
        <w:rPr>
          <w:rFonts w:hint="default" w:ascii="Times New Roman" w:hAnsi="Times New Roman" w:eastAsia="方正小标宋_GBK" w:cs="Times New Roman"/>
          <w:bCs/>
          <w:sz w:val="36"/>
          <w:szCs w:val="36"/>
        </w:rPr>
      </w:pPr>
      <w:r>
        <w:rPr>
          <w:rFonts w:hint="default" w:ascii="Times New Roman" w:hAnsi="Times New Roman" w:eastAsia="方正小标宋_GBK" w:cs="Times New Roman"/>
          <w:bCs/>
          <w:sz w:val="36"/>
          <w:szCs w:val="36"/>
        </w:rPr>
        <w:t>《坡垒培育技术规程》标准</w:t>
      </w:r>
    </w:p>
    <w:p w14:paraId="5B7D81A3">
      <w:pPr>
        <w:adjustRightInd w:val="0"/>
        <w:snapToGrid w:val="0"/>
        <w:spacing w:line="560" w:lineRule="exact"/>
        <w:jc w:val="center"/>
        <w:rPr>
          <w:rFonts w:hint="default" w:ascii="Times New Roman" w:hAnsi="Times New Roman" w:eastAsia="方正小标宋_GBK" w:cs="Times New Roman"/>
          <w:bCs/>
          <w:sz w:val="36"/>
          <w:szCs w:val="36"/>
        </w:rPr>
      </w:pPr>
      <w:r>
        <w:rPr>
          <w:rFonts w:hint="default" w:ascii="Times New Roman" w:hAnsi="Times New Roman" w:eastAsia="方正小标宋_GBK" w:cs="Times New Roman"/>
          <w:bCs/>
          <w:sz w:val="36"/>
          <w:szCs w:val="36"/>
        </w:rPr>
        <w:t>编制说明</w:t>
      </w:r>
    </w:p>
    <w:p w14:paraId="78E32806">
      <w:pPr>
        <w:rPr>
          <w:rFonts w:hint="default" w:ascii="Times New Roman" w:hAnsi="Times New Roman" w:cs="Times New Roman"/>
          <w:b/>
          <w:sz w:val="32"/>
          <w:szCs w:val="32"/>
        </w:rPr>
      </w:pPr>
    </w:p>
    <w:p w14:paraId="3D8357E7">
      <w:pPr>
        <w:rPr>
          <w:rFonts w:hint="default" w:ascii="Times New Roman" w:hAnsi="Times New Roman" w:cs="Times New Roman"/>
        </w:rPr>
      </w:pPr>
    </w:p>
    <w:p w14:paraId="72D01E25">
      <w:pPr>
        <w:rPr>
          <w:rFonts w:hint="default" w:ascii="Times New Roman" w:hAnsi="Times New Roman" w:cs="Times New Roman"/>
        </w:rPr>
      </w:pPr>
    </w:p>
    <w:p w14:paraId="35215A7E">
      <w:pPr>
        <w:rPr>
          <w:rFonts w:hint="default" w:ascii="Times New Roman" w:hAnsi="Times New Roman" w:cs="Times New Roman"/>
        </w:rPr>
      </w:pPr>
    </w:p>
    <w:p w14:paraId="5B9960B9">
      <w:pPr>
        <w:rPr>
          <w:rFonts w:hint="default" w:ascii="Times New Roman" w:hAnsi="Times New Roman" w:cs="Times New Roman"/>
        </w:rPr>
      </w:pPr>
    </w:p>
    <w:p w14:paraId="262087F4">
      <w:pPr>
        <w:rPr>
          <w:rFonts w:hint="default" w:ascii="Times New Roman" w:hAnsi="Times New Roman" w:cs="Times New Roman"/>
        </w:rPr>
      </w:pPr>
    </w:p>
    <w:p w14:paraId="490C60F3">
      <w:pPr>
        <w:rPr>
          <w:rFonts w:hint="default" w:ascii="Times New Roman" w:hAnsi="Times New Roman" w:cs="Times New Roman"/>
        </w:rPr>
      </w:pPr>
    </w:p>
    <w:p w14:paraId="7AF024CA">
      <w:pPr>
        <w:rPr>
          <w:rFonts w:hint="default" w:ascii="Times New Roman" w:hAnsi="Times New Roman" w:cs="Times New Roman"/>
        </w:rPr>
      </w:pPr>
    </w:p>
    <w:p w14:paraId="69C04367">
      <w:pPr>
        <w:rPr>
          <w:rFonts w:hint="default" w:ascii="Times New Roman" w:hAnsi="Times New Roman" w:cs="Times New Roman"/>
        </w:rPr>
      </w:pPr>
    </w:p>
    <w:p w14:paraId="0FE6C786">
      <w:pPr>
        <w:rPr>
          <w:rFonts w:hint="default" w:ascii="Times New Roman" w:hAnsi="Times New Roman" w:cs="Times New Roman"/>
        </w:rPr>
      </w:pPr>
    </w:p>
    <w:p w14:paraId="238111E2">
      <w:pPr>
        <w:rPr>
          <w:rFonts w:hint="default" w:ascii="Times New Roman" w:hAnsi="Times New Roman" w:cs="Times New Roman"/>
        </w:rPr>
      </w:pPr>
    </w:p>
    <w:p w14:paraId="2997D967">
      <w:pPr>
        <w:rPr>
          <w:rFonts w:hint="default" w:ascii="Times New Roman" w:hAnsi="Times New Roman" w:cs="Times New Roman"/>
        </w:rPr>
      </w:pPr>
    </w:p>
    <w:p w14:paraId="417C1724">
      <w:pPr>
        <w:rPr>
          <w:rFonts w:hint="default" w:ascii="Times New Roman" w:hAnsi="Times New Roman" w:cs="Times New Roman"/>
        </w:rPr>
      </w:pPr>
    </w:p>
    <w:p w14:paraId="509087EF">
      <w:pPr>
        <w:rPr>
          <w:rFonts w:hint="default" w:ascii="Times New Roman" w:hAnsi="Times New Roman" w:cs="Times New Roman"/>
        </w:rPr>
      </w:pPr>
    </w:p>
    <w:p w14:paraId="53BBBD15">
      <w:pPr>
        <w:rPr>
          <w:rFonts w:hint="default" w:ascii="Times New Roman" w:hAnsi="Times New Roman" w:cs="Times New Roman"/>
        </w:rPr>
      </w:pPr>
    </w:p>
    <w:p w14:paraId="64519FA0">
      <w:pPr>
        <w:rPr>
          <w:rFonts w:hint="default" w:ascii="Times New Roman" w:hAnsi="Times New Roman" w:cs="Times New Roman"/>
        </w:rPr>
      </w:pPr>
    </w:p>
    <w:p w14:paraId="2A65A487">
      <w:pPr>
        <w:rPr>
          <w:rFonts w:hint="default" w:ascii="Times New Roman" w:hAnsi="Times New Roman" w:cs="Times New Roman"/>
        </w:rPr>
      </w:pPr>
    </w:p>
    <w:p w14:paraId="18659BFF">
      <w:pPr>
        <w:rPr>
          <w:rFonts w:hint="default" w:ascii="Times New Roman" w:hAnsi="Times New Roman" w:cs="Times New Roman"/>
        </w:rPr>
      </w:pPr>
    </w:p>
    <w:p w14:paraId="0D1E4E05">
      <w:pPr>
        <w:rPr>
          <w:rFonts w:hint="default" w:ascii="Times New Roman" w:hAnsi="Times New Roman" w:cs="Times New Roman"/>
        </w:rPr>
      </w:pPr>
    </w:p>
    <w:p w14:paraId="5EA3DB20">
      <w:pPr>
        <w:rPr>
          <w:rFonts w:hint="default" w:ascii="Times New Roman" w:hAnsi="Times New Roman" w:cs="Times New Roman"/>
        </w:rPr>
      </w:pPr>
    </w:p>
    <w:p w14:paraId="4F1A3523">
      <w:pPr>
        <w:rPr>
          <w:rFonts w:hint="default" w:ascii="Times New Roman" w:hAnsi="Times New Roman" w:cs="Times New Roman"/>
        </w:rPr>
      </w:pPr>
    </w:p>
    <w:p w14:paraId="3B7569BD">
      <w:pPr>
        <w:spacing w:line="360" w:lineRule="auto"/>
        <w:ind w:firstLine="317" w:firstLineChars="151"/>
        <w:jc w:val="center"/>
        <w:rPr>
          <w:rFonts w:hint="default" w:ascii="Times New Roman" w:hAnsi="Times New Roman" w:cs="Times New Roman"/>
        </w:rPr>
      </w:pPr>
    </w:p>
    <w:p w14:paraId="22665253">
      <w:pPr>
        <w:adjustRightInd w:val="0"/>
        <w:snapToGrid w:val="0"/>
        <w:spacing w:line="560" w:lineRule="exact"/>
        <w:jc w:val="center"/>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《坡垒培育技术规程》标准编制组</w:t>
      </w:r>
    </w:p>
    <w:p w14:paraId="4A710BC0">
      <w:pPr>
        <w:adjustRightInd w:val="0"/>
        <w:snapToGrid w:val="0"/>
        <w:spacing w:line="560" w:lineRule="exact"/>
        <w:jc w:val="center"/>
        <w:rPr>
          <w:rFonts w:hint="default" w:ascii="Times New Roman" w:hAnsi="Times New Roman" w:eastAsia="方正仿宋_GBK" w:cs="Times New Roman"/>
          <w:bCs/>
          <w:sz w:val="30"/>
          <w:szCs w:val="30"/>
        </w:rPr>
      </w:pPr>
      <w:r>
        <w:rPr>
          <w:rFonts w:hint="default" w:ascii="Times New Roman" w:hAnsi="Times New Roman" w:eastAsia="方正仿宋_GBK" w:cs="Times New Roman"/>
          <w:bCs/>
          <w:sz w:val="30"/>
          <w:szCs w:val="30"/>
        </w:rPr>
        <w:t>二零二六年九月</w:t>
      </w:r>
    </w:p>
    <w:p w14:paraId="6DDC972B">
      <w:pPr>
        <w:spacing w:before="156" w:beforeLines="50" w:line="360" w:lineRule="auto"/>
        <w:jc w:val="center"/>
        <w:rPr>
          <w:rFonts w:hint="default" w:ascii="Times New Roman" w:hAnsi="Times New Roman" w:eastAsia="黑体" w:cs="Times New Roman"/>
          <w:b/>
          <w:bCs/>
          <w:sz w:val="32"/>
          <w:szCs w:val="32"/>
        </w:rPr>
        <w:sectPr>
          <w:footerReference r:id="rId3" w:type="default"/>
          <w:footerReference r:id="rId4" w:type="even"/>
          <w:pgSz w:w="11906" w:h="16838"/>
          <w:pgMar w:top="1440" w:right="1800" w:bottom="1440" w:left="1800" w:header="851" w:footer="992" w:gutter="0"/>
          <w:cols w:space="720" w:num="1"/>
          <w:docGrid w:type="lines" w:linePitch="312" w:charSpace="0"/>
        </w:sectPr>
      </w:pPr>
    </w:p>
    <w:p w14:paraId="42A04555">
      <w:pPr>
        <w:spacing w:before="156" w:beforeLines="50" w:line="360" w:lineRule="auto"/>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目  录</w:t>
      </w:r>
    </w:p>
    <w:p w14:paraId="19909956">
      <w:pPr>
        <w:jc w:val="center"/>
        <w:rPr>
          <w:rFonts w:hint="default" w:ascii="Times New Roman" w:hAnsi="Times New Roman" w:eastAsia="方正小标宋简体" w:cs="Times New Roman"/>
          <w:sz w:val="36"/>
          <w:szCs w:val="36"/>
        </w:rPr>
      </w:pPr>
    </w:p>
    <w:p w14:paraId="14FF78D9">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一、工作简况</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1</w:t>
      </w:r>
    </w:p>
    <w:p w14:paraId="27CBEC08">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lang w:val="zh-CN"/>
        </w:rPr>
      </w:pPr>
      <w:r>
        <w:rPr>
          <w:rFonts w:hint="default" w:ascii="Times New Roman" w:hAnsi="Times New Roman" w:eastAsia="楷体" w:cs="Times New Roman"/>
          <w:sz w:val="24"/>
          <w:szCs w:val="24"/>
          <w:lang w:val="zh-CN"/>
        </w:rPr>
        <w:t>二、立项的必要性</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1</w:t>
      </w:r>
    </w:p>
    <w:p w14:paraId="552AC885">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三、标准编制原则，标准框架、主要内容及其确定依据</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2</w:t>
      </w:r>
    </w:p>
    <w:p w14:paraId="655B7972">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四、与现行法律法规、强制性标准等上位标准关系</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4</w:t>
      </w:r>
    </w:p>
    <w:p w14:paraId="014EF02C">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五、标准有何先进性或特色性</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4</w:t>
      </w:r>
    </w:p>
    <w:p w14:paraId="4C606EB9">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六、标准调研、研讨、征求意见情况</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5</w:t>
      </w:r>
    </w:p>
    <w:p w14:paraId="2A848587">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七、技术指标设置的科学性和可行性</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6</w:t>
      </w:r>
    </w:p>
    <w:p w14:paraId="39035493">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八、与国际、国家、行业、其他省同类标准技术内容的对比情况</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7</w:t>
      </w:r>
    </w:p>
    <w:p w14:paraId="4FD05EA6">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九、涉及专利的有关说明</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7</w:t>
      </w:r>
    </w:p>
    <w:p w14:paraId="07CBD894">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十、标准名称变更应详细说明理由并单独拟文申请</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7</w:t>
      </w:r>
    </w:p>
    <w:p w14:paraId="32406A2D">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十一、编制单位增减应予说明增减原因并单独拟文申请</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7</w:t>
      </w:r>
    </w:p>
    <w:p w14:paraId="6C3613F7">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十二、其他应当说明的事项</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7</w:t>
      </w:r>
    </w:p>
    <w:p w14:paraId="71A8DFD7">
      <w:pPr>
        <w:pStyle w:val="5"/>
        <w:tabs>
          <w:tab w:val="right" w:leader="dot" w:pos="8306"/>
        </w:tabs>
        <w:adjustRightInd w:val="0"/>
        <w:snapToGrid w:val="0"/>
        <w:spacing w:line="520" w:lineRule="exact"/>
        <w:ind w:left="480" w:hanging="480" w:hangingChars="200"/>
        <w:rPr>
          <w:rFonts w:hint="default" w:ascii="Times New Roman" w:hAnsi="Times New Roman" w:eastAsia="楷体" w:cs="Times New Roman"/>
          <w:sz w:val="24"/>
          <w:szCs w:val="24"/>
        </w:rPr>
      </w:pPr>
      <w:r>
        <w:rPr>
          <w:rFonts w:hint="default" w:ascii="Times New Roman" w:hAnsi="Times New Roman" w:eastAsia="楷体" w:cs="Times New Roman"/>
          <w:sz w:val="24"/>
          <w:szCs w:val="24"/>
          <w:lang w:val="zh-CN"/>
        </w:rPr>
        <w:t>十三、贯彻地方标准的要求</w:t>
      </w:r>
      <w:r>
        <w:rPr>
          <w:rFonts w:hint="default" w:ascii="Times New Roman" w:hAnsi="Times New Roman" w:eastAsia="楷体" w:cs="Times New Roman"/>
          <w:sz w:val="24"/>
          <w:szCs w:val="24"/>
          <w:lang w:val="zh-CN"/>
        </w:rPr>
        <w:tab/>
      </w:r>
      <w:r>
        <w:rPr>
          <w:rFonts w:hint="default" w:ascii="Times New Roman" w:hAnsi="Times New Roman" w:eastAsia="楷体" w:cs="Times New Roman"/>
          <w:sz w:val="24"/>
          <w:szCs w:val="24"/>
          <w:lang w:val="zh-CN"/>
        </w:rPr>
        <w:t>7</w:t>
      </w:r>
    </w:p>
    <w:p w14:paraId="5B572858">
      <w:pPr>
        <w:jc w:val="center"/>
        <w:rPr>
          <w:rFonts w:hint="default" w:ascii="Times New Roman" w:hAnsi="Times New Roman" w:eastAsia="方正小标宋简体" w:cs="Times New Roman"/>
          <w:sz w:val="36"/>
          <w:szCs w:val="36"/>
        </w:rPr>
      </w:pPr>
    </w:p>
    <w:p w14:paraId="2DD02C50">
      <w:pPr>
        <w:rPr>
          <w:rFonts w:hint="default" w:ascii="Times New Roman" w:hAnsi="Times New Roman" w:eastAsia="方正小标宋简体" w:cs="Times New Roman"/>
          <w:sz w:val="36"/>
          <w:szCs w:val="36"/>
        </w:rPr>
      </w:pPr>
    </w:p>
    <w:p w14:paraId="2640CB8F">
      <w:pPr>
        <w:jc w:val="center"/>
        <w:rPr>
          <w:rFonts w:hint="default" w:ascii="Times New Roman" w:hAnsi="Times New Roman" w:eastAsia="方正小标宋简体" w:cs="Times New Roman"/>
          <w:sz w:val="36"/>
          <w:szCs w:val="36"/>
        </w:rPr>
      </w:pPr>
    </w:p>
    <w:p w14:paraId="60D325F5">
      <w:pPr>
        <w:rPr>
          <w:rFonts w:hint="default" w:ascii="Times New Roman" w:hAnsi="Times New Roman" w:eastAsia="方正小标宋简体" w:cs="Times New Roman"/>
          <w:sz w:val="36"/>
          <w:szCs w:val="36"/>
        </w:rPr>
      </w:pPr>
    </w:p>
    <w:p w14:paraId="1F641E3E">
      <w:pPr>
        <w:jc w:val="center"/>
        <w:rPr>
          <w:rFonts w:hint="default" w:ascii="Times New Roman" w:hAnsi="Times New Roman" w:eastAsia="方正小标宋简体" w:cs="Times New Roman"/>
          <w:sz w:val="36"/>
          <w:szCs w:val="36"/>
        </w:rPr>
      </w:pPr>
    </w:p>
    <w:p w14:paraId="5EE8FC20">
      <w:pPr>
        <w:jc w:val="center"/>
        <w:rPr>
          <w:rFonts w:hint="default" w:ascii="Times New Roman" w:hAnsi="Times New Roman" w:eastAsia="方正小标宋简体" w:cs="Times New Roman"/>
          <w:sz w:val="36"/>
          <w:szCs w:val="36"/>
        </w:rPr>
      </w:pPr>
    </w:p>
    <w:p w14:paraId="2B1D3C08">
      <w:pPr>
        <w:jc w:val="center"/>
        <w:rPr>
          <w:rFonts w:hint="default" w:ascii="Times New Roman" w:hAnsi="Times New Roman" w:eastAsia="方正小标宋简体" w:cs="Times New Roman"/>
          <w:sz w:val="36"/>
          <w:szCs w:val="36"/>
        </w:rPr>
      </w:pPr>
    </w:p>
    <w:p w14:paraId="1B94C1AB">
      <w:pPr>
        <w:jc w:val="center"/>
        <w:rPr>
          <w:rFonts w:hint="default" w:ascii="Times New Roman" w:hAnsi="Times New Roman" w:eastAsia="方正小标宋简体" w:cs="Times New Roman"/>
          <w:sz w:val="36"/>
          <w:szCs w:val="36"/>
        </w:rPr>
        <w:sectPr>
          <w:footerReference r:id="rId5" w:type="default"/>
          <w:pgSz w:w="11906" w:h="16838"/>
          <w:pgMar w:top="1440" w:right="1800" w:bottom="1440" w:left="1800" w:header="851" w:footer="992" w:gutter="0"/>
          <w:pgNumType w:fmt="upperRoman" w:start="1"/>
          <w:cols w:space="425" w:num="1"/>
          <w:docGrid w:type="lines" w:linePitch="312" w:charSpace="0"/>
        </w:sectPr>
      </w:pPr>
    </w:p>
    <w:p w14:paraId="34D690E4">
      <w:pPr>
        <w:numPr>
          <w:ilvl w:val="0"/>
          <w:numId w:val="1"/>
        </w:numPr>
        <w:rPr>
          <w:rFonts w:hint="default" w:ascii="Times New Roman" w:hAnsi="Times New Roman" w:eastAsia="黑体" w:cs="Times New Roman"/>
          <w:sz w:val="30"/>
          <w:szCs w:val="30"/>
        </w:rPr>
      </w:pPr>
      <w:bookmarkStart w:id="0" w:name="_Toc17936"/>
      <w:r>
        <w:rPr>
          <w:rFonts w:hint="default" w:ascii="Times New Roman" w:hAnsi="Times New Roman" w:eastAsia="黑体" w:cs="Times New Roman"/>
          <w:sz w:val="30"/>
          <w:szCs w:val="30"/>
        </w:rPr>
        <w:t>工作简况</w:t>
      </w:r>
      <w:bookmarkEnd w:id="0"/>
    </w:p>
    <w:p w14:paraId="26815784">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任务来源广东省市场监督管理局2025年10月24日发布的《广东省市场监督管理局关于批准下达2025年广东省地方标准制修订计划（第二批）的通知》（粤市监标准〔2025〕391号）和广东省林业局办公室文件《广东省林业局办公室关于做好2025年第二批省地方标准制修订项目实施工作的通知》，项目由中国林业科学研究院热带林业研究所于2024年8月牵头申报，参加单位包括广东省德庆林场和湛江市林业科学研究所。</w:t>
      </w:r>
    </w:p>
    <w:p w14:paraId="4B0730E1">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本文件由广东省林业局提出并组织实施，由广东省林业标准化技术委员会（GD/TC 146）归口。2025年11月，牵头起草单位组织参加单位、生产经营单位相关专家，进行了编制启动和任务分工，讨论了工作方案，明确了项目成员的编写任务与职责，充分保障了按时完成资料收集、野外调研、数据资料及技术成果汇总、标准草案撰写、征求意见、专家评审、报批等各环节任务。</w:t>
      </w:r>
    </w:p>
    <w:p w14:paraId="6DEAFDFA">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立项的必要性</w:t>
      </w:r>
    </w:p>
    <w:p w14:paraId="6B1E62A5">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坡垒（</w:t>
      </w:r>
      <w:r>
        <w:rPr>
          <w:rFonts w:hint="default" w:ascii="Times New Roman" w:hAnsi="Times New Roman" w:eastAsia="仿宋" w:cs="Times New Roman"/>
          <w:i/>
          <w:iCs/>
          <w:sz w:val="30"/>
          <w:szCs w:val="30"/>
        </w:rPr>
        <w:t>Hopea hainanensis</w:t>
      </w:r>
      <w:r>
        <w:rPr>
          <w:rFonts w:hint="default" w:ascii="Times New Roman" w:hAnsi="Times New Roman" w:eastAsia="仿宋" w:cs="Times New Roman"/>
          <w:sz w:val="30"/>
          <w:szCs w:val="30"/>
        </w:rPr>
        <w:t>）是龙脑香科（Dipterocarpaceae）坡垒属常绿阔叶高大乔木，我国特有珍贵用材树种，木材坚硬，常用于特种工业、工艺，如枕木、机械器具、渔轮、码头、桥梁和其它建筑用材等，现多用于高档家具、装饰和雕刻等。坡垒树干提取物成分和分泌的芳香树脂，可药用和香料用。</w:t>
      </w:r>
    </w:p>
    <w:p w14:paraId="07BB337B">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坡垒耐瘠薄，根系深，具较强的抗病、抗虫和抗风性。坡垒幼龄期耐荫，适宜低效林混交、套种改造和营建混交林。坡垒枝叶茂盛，也是人们喜好的园林绿化树种。2021年坡垒被列入《广东省主要乡土树种名录》，2022年，被列入绿美广东生态建设造林树种名录，已把坡垒列入国储林建设、森林质量精准提升、低效林改造的重要发展树种名录。坡垒在广东广州、德庆、湛江、佛山、江门、东莞、惠州等地都有一定面积的人工林种植，由于改善了生长条件，人工林比天然林生长快很多。广东省树木园内的坡垒大树胸径达50cm，树高达20m。大力发展坡垒人工林，也是保护天然林资源，实现产业提升，乡村振兴，生态建设的迫切需求。</w:t>
      </w:r>
    </w:p>
    <w:p w14:paraId="33B29993">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但是，目前坡垒良种缺乏，存在栽培材料良莠不齐、种子易失水失去发芽力、种子处理和育苗技术要求高以及苗木蹲苗等问题，人工林培育的总体质量有待提升，尚未出版可供参考的坡垒培育技术标准。基于前期研究和技术成果，编制坡垒培育技术标准，以期为坡垒在广东省国储林建设、森林质量精准提升和低效林改造提供技术支撑，全面推动广东省坡垒人工林高质量发展。</w:t>
      </w:r>
    </w:p>
    <w:p w14:paraId="65BA7677">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标准编制原则，标准框架、主要内容及其确定依据</w:t>
      </w:r>
    </w:p>
    <w:p w14:paraId="3D5F99CF">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1.编制原则</w:t>
      </w:r>
    </w:p>
    <w:p w14:paraId="179C673A">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本文件编制遵循如下原则：</w:t>
      </w:r>
    </w:p>
    <w:p w14:paraId="6630EB6B">
      <w:pPr>
        <w:numPr>
          <w:ilvl w:val="0"/>
          <w:numId w:val="2"/>
        </w:num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科学性和实用性兼顾的原则。本文件是在充分调查研究的基础上，总结集成当前坡垒人工林培育最先进技术体系；同时，考虑了苗木培育、造林和抚育管理等的可操作性，易实施性，如扦插育苗设施简易、基质易获取、节约成本等；此外，对于不同立地条件和一些具体技术指标，给出了合理的数值范围，方便经营者根据实际情况参考执行，确保标准的科学性和实用性。</w:t>
      </w:r>
    </w:p>
    <w:p w14:paraId="7DC44F6B">
      <w:pPr>
        <w:numPr>
          <w:ilvl w:val="0"/>
          <w:numId w:val="2"/>
        </w:num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集约经营和生态效益兼顾的原则。本文件在充分了解坡垒生物学、生态学特性的基础上，考虑坡垒作为珍贵木材具有很高的经济价值；同时，坡垒至今无明显病虫害，具较强的抗风性，是营建沿海防护林的优良树种；坡垒幼龄期耐荫，实践证明，适宜低效林混交、套种改造和营建混交林。基于此，本文件提出坡垒多项造林经营策略，可造纯林、混交林，也适宜林下套种，以纯林集约经营实现木材经济最大收益，以混交、套种实现林分稳定性、生物多样性、碳汇等生态效益，二者兼顾。</w:t>
      </w:r>
    </w:p>
    <w:p w14:paraId="6F27BD1F">
      <w:pPr>
        <w:numPr>
          <w:ilvl w:val="0"/>
          <w:numId w:val="2"/>
        </w:num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坚持继承性和规范性原则。本文件遵守相关的法律法规和条例，遵循现行的多个相关国家和林业行业标准规范等。与现行相关标准互相衔接，做到继承统一，引用的标准已在文件中列出。</w:t>
      </w:r>
    </w:p>
    <w:p w14:paraId="628F34D6">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2.标准框架</w:t>
      </w:r>
    </w:p>
    <w:p w14:paraId="2AEAE935">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本文件包括前言、引言、范围、规范性引用文件、术语和定义、种子采集与处理、苗木培育、造林、抚育管理、采伐与更新</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病虫害防治、</w:t>
      </w:r>
      <w:r>
        <w:rPr>
          <w:rFonts w:hint="default" w:ascii="Times New Roman" w:hAnsi="Times New Roman" w:eastAsia="仿宋" w:cs="Times New Roman"/>
          <w:sz w:val="30"/>
          <w:szCs w:val="30"/>
        </w:rPr>
        <w:t>档案管理，共1</w:t>
      </w:r>
      <w:r>
        <w:rPr>
          <w:rFonts w:hint="eastAsia" w:ascii="Times New Roman" w:hAnsi="Times New Roman" w:eastAsia="仿宋" w:cs="Times New Roman"/>
          <w:sz w:val="30"/>
          <w:szCs w:val="30"/>
          <w:lang w:val="en-US" w:eastAsia="zh-CN"/>
        </w:rPr>
        <w:t>2</w:t>
      </w:r>
      <w:r>
        <w:rPr>
          <w:rFonts w:hint="default" w:ascii="Times New Roman" w:hAnsi="Times New Roman" w:eastAsia="仿宋" w:cs="Times New Roman"/>
          <w:sz w:val="30"/>
          <w:szCs w:val="30"/>
        </w:rPr>
        <w:t>个部分。</w:t>
      </w:r>
    </w:p>
    <w:p w14:paraId="11016C93">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3.标准主要内容</w:t>
      </w:r>
    </w:p>
    <w:p w14:paraId="7EAF0077">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本文件规定了坡垒人工林培育的种子采集与处理、苗木培育、造林、抚育管理、采伐与更新、</w:t>
      </w:r>
      <w:r>
        <w:rPr>
          <w:rFonts w:hint="eastAsia" w:ascii="Times New Roman" w:hAnsi="Times New Roman" w:eastAsia="仿宋" w:cs="Times New Roman"/>
          <w:sz w:val="30"/>
          <w:szCs w:val="30"/>
          <w:lang w:val="en-US" w:eastAsia="zh-CN"/>
        </w:rPr>
        <w:t>病虫害防治、</w:t>
      </w:r>
      <w:r>
        <w:rPr>
          <w:rFonts w:hint="default" w:ascii="Times New Roman" w:hAnsi="Times New Roman" w:eastAsia="仿宋" w:cs="Times New Roman"/>
          <w:sz w:val="30"/>
          <w:szCs w:val="30"/>
        </w:rPr>
        <w:t>档案管理等各环节技术要求。</w:t>
      </w:r>
    </w:p>
    <w:p w14:paraId="1AB1D6DC">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4.确定依据</w:t>
      </w:r>
    </w:p>
    <w:p w14:paraId="338C72B1">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本文件主要依据编制组主持的坡垒相关科研项目获得的优良种质材料、技术、模式、专利、论文、专著、数据等；同时参考了现有国家标准和相关规定、其它林业行业标准，特别是造林技术规程有关阔叶林树种造林、抚育经营相关技术；调查获得的坡垒苗木培育、造林和抚育管理等各方面成果、报告和生产实践经验等，以及广泛听取与本标准内容相关的专家学者的意见和建议的基础上编制所成。</w:t>
      </w:r>
    </w:p>
    <w:p w14:paraId="2E18AFB1">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与现行法律法规、强制性标准等上位标准关系</w:t>
      </w:r>
    </w:p>
    <w:p w14:paraId="0418E668">
      <w:pPr>
        <w:pStyle w:val="10"/>
        <w:ind w:firstLine="6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本文件在制定过程中坚持继承性</w:t>
      </w:r>
      <w:r>
        <w:rPr>
          <w:rFonts w:hint="default" w:ascii="Times New Roman" w:hAnsi="Times New Roman" w:eastAsia="仿宋" w:cs="Times New Roman"/>
          <w:sz w:val="30"/>
          <w:szCs w:val="30"/>
        </w:rPr>
        <w:t>和规范性</w:t>
      </w:r>
      <w:r>
        <w:rPr>
          <w:rFonts w:hint="default" w:ascii="Times New Roman" w:hAnsi="Times New Roman" w:eastAsia="方正仿宋_GBK" w:cs="Times New Roman"/>
          <w:sz w:val="30"/>
          <w:szCs w:val="30"/>
        </w:rPr>
        <w:t>原则，</w:t>
      </w:r>
      <w:r>
        <w:rPr>
          <w:rFonts w:hint="default" w:ascii="Times New Roman" w:hAnsi="Times New Roman" w:eastAsia="仿宋" w:cs="Times New Roman"/>
          <w:sz w:val="30"/>
          <w:szCs w:val="30"/>
        </w:rPr>
        <w:t>遵守相关的法律法规和条例，</w:t>
      </w:r>
      <w:r>
        <w:rPr>
          <w:rFonts w:hint="default" w:ascii="Times New Roman" w:hAnsi="Times New Roman" w:eastAsia="方正仿宋_GBK" w:cs="Times New Roman"/>
          <w:bCs/>
          <w:sz w:val="30"/>
          <w:szCs w:val="30"/>
        </w:rPr>
        <w:t>同时遵循现行多个相关国家标准和林业行业标准的要求，</w:t>
      </w:r>
      <w:r>
        <w:rPr>
          <w:rFonts w:hint="default" w:ascii="Times New Roman" w:hAnsi="Times New Roman" w:eastAsia="方正仿宋_GBK" w:cs="Times New Roman"/>
          <w:sz w:val="30"/>
          <w:szCs w:val="30"/>
        </w:rPr>
        <w:t>如GB/T 6001育苗技术规程、GB/T 8321 农药合理使用准则</w:t>
      </w:r>
      <w:r>
        <w:rPr>
          <w:rFonts w:hint="eastAsia" w:ascii="Times New Roman" w:eastAsia="方正仿宋_GBK" w:cs="Times New Roman"/>
          <w:sz w:val="30"/>
          <w:szCs w:val="30"/>
          <w:lang w:eastAsia="zh-CN"/>
        </w:rPr>
        <w:t>、</w:t>
      </w:r>
      <w:r>
        <w:rPr>
          <w:rFonts w:hint="default" w:ascii="Times New Roman" w:hAnsi="Times New Roman" w:eastAsia="方正仿宋_GBK" w:cs="Times New Roman"/>
          <w:sz w:val="30"/>
          <w:szCs w:val="30"/>
        </w:rPr>
        <w:t>GB/T 16619《林木采种技术》、GB/T 15776《造林技术规程》、GB/T 15781《森林抚育规程》等。对引用的标准已在文件中列出。没有发现本文件与有关现行法律、法规和强制性国家标准有抵触或相矛盾之处。</w:t>
      </w:r>
    </w:p>
    <w:p w14:paraId="4A4BD3BC">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标准有何先进性或特色性</w:t>
      </w:r>
    </w:p>
    <w:p w14:paraId="5A06B6BA">
      <w:pPr>
        <w:ind w:firstLine="600" w:firstLineChars="200"/>
        <w:rPr>
          <w:rFonts w:hint="default" w:ascii="Times New Roman" w:hAnsi="Times New Roman" w:eastAsia="仿宋" w:cs="Times New Roman"/>
          <w:color w:val="0000FF"/>
          <w:sz w:val="30"/>
          <w:szCs w:val="30"/>
        </w:rPr>
      </w:pPr>
      <w:r>
        <w:rPr>
          <w:rFonts w:hint="default" w:ascii="Times New Roman" w:hAnsi="Times New Roman" w:eastAsia="仿宋" w:cs="Times New Roman"/>
          <w:sz w:val="30"/>
          <w:szCs w:val="30"/>
        </w:rPr>
        <w:t>本文件在调查广东省坡垒人工林的基础上，确定了适生区域；根据坡垒生物学和生态学特性，提出了坡垒特色造林技术与模式，尤其是坡垒作为耐瘠薄、深根性树种，抗风性强，广东有着很长的海岸线，坡垒适宜营建沿海防风林；坡垒幼林耐</w:t>
      </w:r>
      <w:r>
        <w:rPr>
          <w:rFonts w:hint="default" w:ascii="Times New Roman" w:hAnsi="Times New Roman" w:eastAsia="仿宋" w:cs="Times New Roman"/>
          <w:sz w:val="30"/>
          <w:szCs w:val="30"/>
          <w:lang w:val="en-US" w:eastAsia="zh-CN"/>
        </w:rPr>
        <w:t>荫</w:t>
      </w:r>
      <w:r>
        <w:rPr>
          <w:rFonts w:hint="default" w:ascii="Times New Roman" w:hAnsi="Times New Roman" w:eastAsia="仿宋" w:cs="Times New Roman"/>
          <w:sz w:val="30"/>
          <w:szCs w:val="30"/>
        </w:rPr>
        <w:t>，适宜林下套种形成混交林，可用于广东低效桉树、松树、杉木林的优化改造。如此，兼顾了生物多样性、碳汇、林分稳定性等综合生态效益。</w:t>
      </w:r>
    </w:p>
    <w:p w14:paraId="4E9CD8D5">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标准调研、研讨、征求意见情况</w:t>
      </w:r>
    </w:p>
    <w:p w14:paraId="7237465B">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1.标准调研和研讨</w:t>
      </w:r>
    </w:p>
    <w:p w14:paraId="4D930F3D">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2025年11月，为推进广东省地方标准化项目“坡垒培育技术规程”的顺利实施，牵头单位组织专家赴广州、佛山、肇庆、江门、湛江等地开展了坡垒人工林培育调研，调查了栽培材料，苗木生产情况，坡垒造林技术与模式等；实地调查后，会议研讨了“坡垒培育技术规程”标准框架、主要内容等，有效地推动了标准编制进程，保障了标准的质量。</w:t>
      </w:r>
    </w:p>
    <w:p w14:paraId="1DBC6C82">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2.形成标准草案</w:t>
      </w:r>
    </w:p>
    <w:p w14:paraId="609B666E">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2025年12月-2026年2月，在起草过程中，编制组内部多次组织讨论，不断修改完善标准内容，并形成了标准草案。</w:t>
      </w:r>
    </w:p>
    <w:p w14:paraId="44B5746F">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3.形成征求意见稿</w:t>
      </w:r>
    </w:p>
    <w:p w14:paraId="0040A470">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2026年3月-5月，编制组内部多次召开研讨会，反复讨论育苗技术、苗木分级、造林配置、抚育管理、间伐等方面的内容，征询并吸收有关专家的意见，反复修改完善，形成了标准征求意见稿。</w:t>
      </w:r>
    </w:p>
    <w:p w14:paraId="4AF1158F">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4.征求意见情况</w:t>
      </w:r>
    </w:p>
    <w:p w14:paraId="1DD4E39F">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2026年6月25日-</w:t>
      </w:r>
      <w:r>
        <w:rPr>
          <w:rFonts w:hint="default" w:ascii="Times New Roman" w:hAnsi="Times New Roman" w:eastAsia="仿宋" w:cs="Times New Roman"/>
          <w:sz w:val="30"/>
          <w:szCs w:val="30"/>
          <w:lang w:val="en-US" w:eastAsia="zh-CN"/>
        </w:rPr>
        <w:t>8</w:t>
      </w:r>
      <w:r>
        <w:rPr>
          <w:rFonts w:hint="default" w:ascii="Times New Roman" w:hAnsi="Times New Roman" w:eastAsia="仿宋" w:cs="Times New Roman"/>
          <w:sz w:val="30"/>
          <w:szCs w:val="30"/>
        </w:rPr>
        <w:t>月30日，由标准编制牵头单位通过会议研讨、电话、网络咨询等方式向高等院校、林业科研单位、检测机构、相关企业征求意见；同时通过广东省林业标准化技术委员会征求意见。发送《征求意见稿》的单位数51个；收到《征求意见稿》后，回函的单位数26个；收到《征求意见稿》后，回函并有建议和意见的单位数18个；没有回函的单位数25个。合计收到修改意见166条，其中采纳1</w:t>
      </w:r>
      <w:r>
        <w:rPr>
          <w:rFonts w:hint="default" w:ascii="Times New Roman" w:hAnsi="Times New Roman" w:eastAsia="仿宋" w:cs="Times New Roman"/>
          <w:sz w:val="30"/>
          <w:szCs w:val="30"/>
          <w:lang w:val="en-US" w:eastAsia="zh-CN"/>
        </w:rPr>
        <w:t>20</w:t>
      </w:r>
      <w:r>
        <w:rPr>
          <w:rFonts w:hint="default" w:ascii="Times New Roman" w:hAnsi="Times New Roman" w:eastAsia="仿宋" w:cs="Times New Roman"/>
          <w:sz w:val="30"/>
          <w:szCs w:val="30"/>
        </w:rPr>
        <w:t>条，部分采纳2</w:t>
      </w:r>
      <w:r>
        <w:rPr>
          <w:rFonts w:hint="default" w:ascii="Times New Roman" w:hAnsi="Times New Roman" w:eastAsia="仿宋" w:cs="Times New Roman"/>
          <w:sz w:val="30"/>
          <w:szCs w:val="30"/>
          <w:lang w:val="en-US" w:eastAsia="zh-CN"/>
        </w:rPr>
        <w:t>5</w:t>
      </w:r>
      <w:r>
        <w:rPr>
          <w:rFonts w:hint="default" w:ascii="Times New Roman" w:hAnsi="Times New Roman" w:eastAsia="仿宋" w:cs="Times New Roman"/>
          <w:sz w:val="30"/>
          <w:szCs w:val="30"/>
        </w:rPr>
        <w:t>条，不采纳2</w:t>
      </w:r>
      <w:r>
        <w:rPr>
          <w:rFonts w:hint="default" w:ascii="Times New Roman" w:hAnsi="Times New Roman" w:eastAsia="仿宋" w:cs="Times New Roman"/>
          <w:sz w:val="30"/>
          <w:szCs w:val="30"/>
          <w:lang w:val="en-US" w:eastAsia="zh-CN"/>
        </w:rPr>
        <w:t>1</w:t>
      </w:r>
      <w:r>
        <w:rPr>
          <w:rFonts w:hint="default" w:ascii="Times New Roman" w:hAnsi="Times New Roman" w:eastAsia="仿宋" w:cs="Times New Roman"/>
          <w:sz w:val="30"/>
          <w:szCs w:val="30"/>
        </w:rPr>
        <w:t>条。不采纳的原因主要包括不符合标准编制要求、不符合坡垒特性要求、与其他大多数专家意见不一致等。</w:t>
      </w:r>
    </w:p>
    <w:p w14:paraId="0B2D165E">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5.形成送审稿</w:t>
      </w:r>
    </w:p>
    <w:p w14:paraId="5BBFD230">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编制组对征集的意见和建议，再次逐条核实，对不明确的意见，及时电话与专家沟通与讨论；对不采纳的都给予解释和说明原因；对采纳的逐条修改完善，最终形成《坡垒培育技术规程》标准送审稿，并于2026年9月29日依次报送广东省林业标准化技术委员会和广东省林业局科技处。</w:t>
      </w:r>
      <w:bookmarkStart w:id="1" w:name="_GoBack"/>
      <w:bookmarkEnd w:id="1"/>
    </w:p>
    <w:p w14:paraId="68EF648F">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6.召开审查会</w:t>
      </w:r>
    </w:p>
    <w:p w14:paraId="42F1BC15">
      <w:pP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 xml:space="preserve">    待审查会后补充</w:t>
      </w:r>
    </w:p>
    <w:p w14:paraId="4EC94E51">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技术指标设置的科学性和可行性</w:t>
      </w:r>
    </w:p>
    <w:p w14:paraId="1BCE475B">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本文件各技术指标主要依据编制组前期十五年来研究获得的数据、结果、专利、论文、专著、技术、模式等；同时参考了调查获得的坡垒苗木培育、造林和抚育管理等各方面成果、报告和生产实践经验等，以及广泛听取与本标准内容相关的专家学者的意见和建议。本文件遵守相关的法律法规和条例，同时遵循现行多个相关国家标准和林业行业标准的要求，在制定过程中坚持继承性和规范性原则。</w:t>
      </w:r>
    </w:p>
    <w:p w14:paraId="53941DF0">
      <w:pPr>
        <w:ind w:firstLine="600" w:firstLineChars="2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本文件兼顾了科学性和实用性，在充分调查研究的基础上，总结集成当前坡垒人工林培育最先进技术体系；同时，考虑了实际可操作性，如扦插育苗设施简易、基质易获取、节约成本等；对于不同立地条件和一些具体技术指标，给出了合理的数值范围，方便经营者根据实际情况参考执行，确保标准的科学性和可行性。</w:t>
      </w:r>
    </w:p>
    <w:p w14:paraId="744D5CA5">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与国际、国家、行业、其他省同类标准技术内容的对比情况，或者与测试的国外样品、样机的有关数据对比情况</w:t>
      </w:r>
    </w:p>
    <w:p w14:paraId="56E82BB0">
      <w:pPr>
        <w:pStyle w:val="9"/>
        <w:spacing w:line="560" w:lineRule="exact"/>
        <w:ind w:firstLine="600"/>
        <w:rPr>
          <w:rFonts w:hint="default" w:ascii="Times New Roman" w:hAnsi="Times New Roman" w:eastAsia="仿宋" w:cs="Times New Roman"/>
          <w:sz w:val="30"/>
          <w:szCs w:val="30"/>
        </w:rPr>
      </w:pPr>
      <w:r>
        <w:rPr>
          <w:rFonts w:hint="default" w:ascii="Times New Roman" w:hAnsi="Times New Roman" w:eastAsia="方正仿宋_GBK" w:cs="Times New Roman"/>
          <w:sz w:val="30"/>
          <w:szCs w:val="30"/>
        </w:rPr>
        <w:t>国际、国外尚无同类标准。本文件未采用国际标准。</w:t>
      </w:r>
      <w:r>
        <w:rPr>
          <w:rFonts w:hint="default" w:ascii="Times New Roman" w:hAnsi="Times New Roman" w:eastAsia="仿宋" w:cs="Times New Roman"/>
          <w:sz w:val="30"/>
          <w:szCs w:val="30"/>
        </w:rPr>
        <w:t>本文件在制定过程中坚持继承性原则，遵守相关的国家、行业、其他省同类标准技术内容，对引用的标准已在文件中列出。</w:t>
      </w:r>
    </w:p>
    <w:p w14:paraId="23E0E19F">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涉及专利的有关说明</w:t>
      </w:r>
    </w:p>
    <w:p w14:paraId="053C4CB5">
      <w:pPr>
        <w:pStyle w:val="9"/>
        <w:spacing w:line="560" w:lineRule="exact"/>
        <w:ind w:firstLine="600"/>
        <w:rPr>
          <w:rFonts w:hint="default" w:ascii="Times New Roman" w:hAnsi="Times New Roman" w:eastAsia="黑体" w:cs="Times New Roman"/>
          <w:sz w:val="30"/>
          <w:szCs w:val="30"/>
        </w:rPr>
      </w:pPr>
      <w:r>
        <w:rPr>
          <w:rFonts w:hint="default" w:ascii="Times New Roman" w:hAnsi="Times New Roman" w:eastAsia="方正仿宋_GBK" w:cs="Times New Roman"/>
          <w:sz w:val="30"/>
          <w:szCs w:val="30"/>
        </w:rPr>
        <w:t>本文件在苗木培育方面涉及1件专利，知识产权均归属编制组成员所在单位，不涉及非编制单位的专利。本文件的其他内容可能涉及专利，发布机构不承担识别专利的责任。</w:t>
      </w:r>
    </w:p>
    <w:p w14:paraId="75577B37">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标准名称变更应详细说明理由并单独拟文申请</w:t>
      </w:r>
    </w:p>
    <w:p w14:paraId="381EE76A">
      <w:pPr>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无</w:t>
      </w:r>
    </w:p>
    <w:p w14:paraId="14A09FDB">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编制单位增减应予说明增减原因并单独拟文申请</w:t>
      </w:r>
    </w:p>
    <w:p w14:paraId="71215FEF">
      <w:pPr>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无</w:t>
      </w:r>
    </w:p>
    <w:p w14:paraId="286A49B0">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其他应当说明的事项</w:t>
      </w:r>
    </w:p>
    <w:p w14:paraId="1099B424">
      <w:pPr>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无</w:t>
      </w:r>
    </w:p>
    <w:p w14:paraId="73A07C54">
      <w:pPr>
        <w:numPr>
          <w:ilvl w:val="0"/>
          <w:numId w:val="1"/>
        </w:num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贯彻地方标准的要求，以及组织措施、技术措施、过渡期和实施日期等建议</w:t>
      </w:r>
    </w:p>
    <w:p w14:paraId="6ECE85A5">
      <w:pPr>
        <w:pStyle w:val="9"/>
        <w:spacing w:line="560" w:lineRule="exact"/>
        <w:ind w:firstLine="6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文件的编制，为规范广东坡垒人工林培育提供了科学依据和技术支持。为推动本文件的实施，编制组需加强本标准的宣传和培训工作，如定期举办培训班，发放技术手册，或现场技术指导等。此外，建议各生产经营单位在实际生产过程中，切实按照本文件规定的环节程序实施，定期进行监督、检查和评估，并及时向编制单位反馈实施效果情况。坡垒科研单位及生产经营单位在科研工作和标准执行过程中，需不断总结科学技术和生产经验，积极提出宝贵的意见和建议，以利本文件的不断完善。</w:t>
      </w:r>
    </w:p>
    <w:p w14:paraId="03E9F0C6">
      <w:pPr>
        <w:pStyle w:val="9"/>
        <w:spacing w:line="560" w:lineRule="exact"/>
        <w:ind w:firstLine="600"/>
        <w:rPr>
          <w:rFonts w:hint="default" w:ascii="Times New Roman" w:hAnsi="Times New Roman" w:eastAsia="方正仿宋_GBK" w:cs="Times New Roman"/>
          <w:sz w:val="30"/>
          <w:szCs w:val="30"/>
        </w:rPr>
      </w:pPr>
    </w:p>
    <w:p w14:paraId="40C689B6">
      <w:pPr>
        <w:adjustRightInd w:val="0"/>
        <w:snapToGrid w:val="0"/>
        <w:spacing w:before="156" w:beforeLines="50" w:line="560" w:lineRule="exact"/>
        <w:jc w:val="right"/>
        <w:rPr>
          <w:rFonts w:hint="default" w:ascii="Times New Roman" w:hAnsi="Times New Roman" w:eastAsia="方正仿宋_GBK" w:cs="Times New Roman"/>
          <w:bCs/>
          <w:sz w:val="30"/>
          <w:szCs w:val="30"/>
        </w:rPr>
      </w:pPr>
    </w:p>
    <w:p w14:paraId="1B9DE449">
      <w:pPr>
        <w:adjustRightInd w:val="0"/>
        <w:snapToGrid w:val="0"/>
        <w:spacing w:before="156" w:beforeLines="50" w:line="560" w:lineRule="exact"/>
        <w:jc w:val="right"/>
        <w:rPr>
          <w:rFonts w:hint="default" w:ascii="Times New Roman" w:hAnsi="Times New Roman" w:eastAsia="方正仿宋_GBK" w:cs="Times New Roman"/>
          <w:sz w:val="30"/>
          <w:szCs w:val="30"/>
        </w:rPr>
      </w:pPr>
      <w:r>
        <w:rPr>
          <w:rFonts w:hint="default" w:ascii="Times New Roman" w:hAnsi="Times New Roman" w:eastAsia="方正仿宋_GBK" w:cs="Times New Roman"/>
          <w:bCs/>
          <w:sz w:val="30"/>
          <w:szCs w:val="30"/>
        </w:rPr>
        <w:t>《坡垒培育技术规程》标准编制</w:t>
      </w:r>
      <w:r>
        <w:rPr>
          <w:rFonts w:hint="default" w:ascii="Times New Roman" w:hAnsi="Times New Roman" w:eastAsia="方正仿宋_GBK" w:cs="Times New Roman"/>
          <w:sz w:val="30"/>
          <w:szCs w:val="30"/>
        </w:rPr>
        <w:t>组</w:t>
      </w:r>
    </w:p>
    <w:p w14:paraId="134B7DD8">
      <w:pPr>
        <w:adjustRightInd w:val="0"/>
        <w:snapToGrid w:val="0"/>
        <w:spacing w:line="560" w:lineRule="exact"/>
        <w:ind w:right="840"/>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 xml:space="preserve">                                2026年09月</w:t>
      </w:r>
    </w:p>
    <w:p w14:paraId="52277938">
      <w:pPr>
        <w:pStyle w:val="9"/>
        <w:spacing w:line="560" w:lineRule="exact"/>
        <w:ind w:firstLine="600"/>
        <w:rPr>
          <w:rFonts w:hint="default" w:ascii="Times New Roman" w:hAnsi="Times New Roman" w:eastAsia="方正仿宋_GBK" w:cs="Times New Roman"/>
          <w:sz w:val="30"/>
          <w:szCs w:val="30"/>
        </w:rPr>
      </w:pPr>
    </w:p>
    <w:p w14:paraId="4F624A8F">
      <w:pPr>
        <w:rPr>
          <w:rFonts w:hint="default" w:ascii="Times New Roman" w:hAnsi="Times New Roman" w:eastAsia="黑体" w:cs="Times New Roman"/>
          <w:sz w:val="30"/>
          <w:szCs w:val="30"/>
        </w:rPr>
      </w:pPr>
    </w:p>
    <w:sectPr>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B6651">
    <w:pPr>
      <w:pStyle w:val="3"/>
      <w:tabs>
        <w:tab w:val="left" w:pos="7414"/>
        <w:tab w:val="clear" w:pos="4153"/>
      </w:tabs>
      <w:rPr>
        <w:rFonts w:hint="eastAsia"/>
      </w:rPr>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A3E50">
    <w:pPr>
      <w:pStyle w:val="3"/>
      <w:framePr w:wrap="around" w:vAnchor="text" w:hAnchor="margin" w:xAlign="center" w:y="1"/>
      <w:rPr>
        <w:rStyle w:val="8"/>
        <w:rFonts w:hint="eastAsia"/>
      </w:rPr>
    </w:pPr>
    <w:r>
      <w:rPr>
        <w:rStyle w:val="8"/>
      </w:rPr>
      <w:fldChar w:fldCharType="begin"/>
    </w:r>
    <w:r>
      <w:rPr>
        <w:rStyle w:val="8"/>
      </w:rPr>
      <w:instrText xml:space="preserve">PAGE  </w:instrText>
    </w:r>
    <w:r>
      <w:rPr>
        <w:rStyle w:val="8"/>
      </w:rPr>
      <w:fldChar w:fldCharType="end"/>
    </w:r>
  </w:p>
  <w:p w14:paraId="47E56465">
    <w:pPr>
      <w:pStyle w:val="3"/>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A392F">
    <w:pPr>
      <w:pStyle w:val="3"/>
      <w:tabs>
        <w:tab w:val="left" w:pos="7414"/>
        <w:tab w:val="clear" w:pos="4153"/>
      </w:tabs>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55093">
                          <w:pPr>
                            <w:pStyle w:val="3"/>
                            <w:rPr>
                              <w:rFonts w:hint="eastAsia"/>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8055093">
                    <w:pPr>
                      <w:pStyle w:val="3"/>
                      <w:rPr>
                        <w:rFonts w:hint="eastAsia"/>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2DA3F">
    <w:pPr>
      <w:pStyle w:val="3"/>
      <w:tabs>
        <w:tab w:val="left" w:pos="7414"/>
        <w:tab w:val="clear" w:pos="4153"/>
      </w:tabs>
      <w:rPr>
        <w:rFonts w:hint="eastAsia"/>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E1B1E">
                          <w:pPr>
                            <w:pStyle w:val="3"/>
                            <w:rPr>
                              <w:rFonts w:hint="eastAsia"/>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80E1B1E">
                    <w:pPr>
                      <w:pStyle w:val="3"/>
                      <w:rPr>
                        <w:rFonts w:hint="eastAsia"/>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txbxContent>
              </v:textbox>
            </v:shape>
          </w:pict>
        </mc:Fallback>
      </mc:AlternateConten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56079"/>
    <w:multiLevelType w:val="singleLevel"/>
    <w:tmpl w:val="DBF56079"/>
    <w:lvl w:ilvl="0" w:tentative="0">
      <w:start w:val="1"/>
      <w:numFmt w:val="chineseCounting"/>
      <w:suff w:val="nothing"/>
      <w:lvlText w:val="%1、"/>
      <w:lvlJc w:val="left"/>
      <w:rPr>
        <w:rFonts w:hint="eastAsia"/>
      </w:rPr>
    </w:lvl>
  </w:abstractNum>
  <w:abstractNum w:abstractNumId="1">
    <w:nsid w:val="F2DFD1BE"/>
    <w:multiLevelType w:val="singleLevel"/>
    <w:tmpl w:val="F2DFD1BE"/>
    <w:lvl w:ilvl="0" w:tentative="0">
      <w:start w:val="1"/>
      <w:numFmt w:val="chineseCounting"/>
      <w:suff w:val="nothing"/>
      <w:lvlText w:val="第%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BA0"/>
    <w:rsid w:val="00043C7C"/>
    <w:rsid w:val="000E635F"/>
    <w:rsid w:val="00543518"/>
    <w:rsid w:val="00733E26"/>
    <w:rsid w:val="00860329"/>
    <w:rsid w:val="00901BA0"/>
    <w:rsid w:val="0093667D"/>
    <w:rsid w:val="009C5101"/>
    <w:rsid w:val="00A07691"/>
    <w:rsid w:val="00AC045F"/>
    <w:rsid w:val="00AF4554"/>
    <w:rsid w:val="00B10A2A"/>
    <w:rsid w:val="00B47BA6"/>
    <w:rsid w:val="00D90B66"/>
    <w:rsid w:val="00F26DEA"/>
    <w:rsid w:val="00FE4878"/>
    <w:rsid w:val="01057711"/>
    <w:rsid w:val="014D4677"/>
    <w:rsid w:val="01F11601"/>
    <w:rsid w:val="02441F1E"/>
    <w:rsid w:val="026954E1"/>
    <w:rsid w:val="02783976"/>
    <w:rsid w:val="0284231A"/>
    <w:rsid w:val="030F42DA"/>
    <w:rsid w:val="03B66504"/>
    <w:rsid w:val="04F47813"/>
    <w:rsid w:val="0564417B"/>
    <w:rsid w:val="05A9347B"/>
    <w:rsid w:val="05C31742"/>
    <w:rsid w:val="06D432E7"/>
    <w:rsid w:val="076F5347"/>
    <w:rsid w:val="08143F57"/>
    <w:rsid w:val="0928115A"/>
    <w:rsid w:val="095F13EB"/>
    <w:rsid w:val="0A20501F"/>
    <w:rsid w:val="0A64315D"/>
    <w:rsid w:val="0A96708F"/>
    <w:rsid w:val="0B130629"/>
    <w:rsid w:val="0B2E2581"/>
    <w:rsid w:val="0BEF2EFA"/>
    <w:rsid w:val="0CF053C7"/>
    <w:rsid w:val="0D3F57BC"/>
    <w:rsid w:val="0D8B27AF"/>
    <w:rsid w:val="0DB25F8E"/>
    <w:rsid w:val="0DC61A39"/>
    <w:rsid w:val="0DD203DE"/>
    <w:rsid w:val="0E19600D"/>
    <w:rsid w:val="103B3A14"/>
    <w:rsid w:val="10A818CA"/>
    <w:rsid w:val="116C28F7"/>
    <w:rsid w:val="11F0177A"/>
    <w:rsid w:val="120345BF"/>
    <w:rsid w:val="123C49C0"/>
    <w:rsid w:val="135B70C7"/>
    <w:rsid w:val="136A730B"/>
    <w:rsid w:val="14093145"/>
    <w:rsid w:val="143C3E67"/>
    <w:rsid w:val="14EA0703"/>
    <w:rsid w:val="153E3E77"/>
    <w:rsid w:val="15997A33"/>
    <w:rsid w:val="15E50ECA"/>
    <w:rsid w:val="15E52C78"/>
    <w:rsid w:val="16165F10"/>
    <w:rsid w:val="161C0D90"/>
    <w:rsid w:val="16D1782B"/>
    <w:rsid w:val="16EB2510"/>
    <w:rsid w:val="1783099B"/>
    <w:rsid w:val="17984446"/>
    <w:rsid w:val="17A10E21"/>
    <w:rsid w:val="17BE19D3"/>
    <w:rsid w:val="183D381B"/>
    <w:rsid w:val="19A215AC"/>
    <w:rsid w:val="19B26D4E"/>
    <w:rsid w:val="19DF677D"/>
    <w:rsid w:val="1A5F56EF"/>
    <w:rsid w:val="1A6E567F"/>
    <w:rsid w:val="1A907657"/>
    <w:rsid w:val="1C05119F"/>
    <w:rsid w:val="1C1017E3"/>
    <w:rsid w:val="1C67201D"/>
    <w:rsid w:val="1D631052"/>
    <w:rsid w:val="1DD0687E"/>
    <w:rsid w:val="1EB0641F"/>
    <w:rsid w:val="1EC75806"/>
    <w:rsid w:val="1EE2194B"/>
    <w:rsid w:val="1FC87893"/>
    <w:rsid w:val="203960FF"/>
    <w:rsid w:val="204333BD"/>
    <w:rsid w:val="205949F0"/>
    <w:rsid w:val="20684BD2"/>
    <w:rsid w:val="20E22BD6"/>
    <w:rsid w:val="21CC3D6A"/>
    <w:rsid w:val="223236E9"/>
    <w:rsid w:val="2274785E"/>
    <w:rsid w:val="23C16AD3"/>
    <w:rsid w:val="23F92711"/>
    <w:rsid w:val="24D64262"/>
    <w:rsid w:val="26BA203A"/>
    <w:rsid w:val="26C708A4"/>
    <w:rsid w:val="278E3170"/>
    <w:rsid w:val="27FA798C"/>
    <w:rsid w:val="286D7229"/>
    <w:rsid w:val="28BF4C04"/>
    <w:rsid w:val="28C05396"/>
    <w:rsid w:val="291E49C7"/>
    <w:rsid w:val="29247BCE"/>
    <w:rsid w:val="2ADD5CED"/>
    <w:rsid w:val="2B7B1C5D"/>
    <w:rsid w:val="2C0F23A5"/>
    <w:rsid w:val="2C9034E6"/>
    <w:rsid w:val="2D087520"/>
    <w:rsid w:val="2E6562F0"/>
    <w:rsid w:val="2EB67BB3"/>
    <w:rsid w:val="2EBD19D6"/>
    <w:rsid w:val="2FC01C93"/>
    <w:rsid w:val="2FC64884"/>
    <w:rsid w:val="304745D7"/>
    <w:rsid w:val="30F027A5"/>
    <w:rsid w:val="318F6462"/>
    <w:rsid w:val="31DC3889"/>
    <w:rsid w:val="32335040"/>
    <w:rsid w:val="33435756"/>
    <w:rsid w:val="33D939C5"/>
    <w:rsid w:val="342804A8"/>
    <w:rsid w:val="343C3F54"/>
    <w:rsid w:val="34420E37"/>
    <w:rsid w:val="35353D4F"/>
    <w:rsid w:val="35C361BF"/>
    <w:rsid w:val="35CB7707"/>
    <w:rsid w:val="35E825E5"/>
    <w:rsid w:val="369D33CF"/>
    <w:rsid w:val="36A4475E"/>
    <w:rsid w:val="374E6478"/>
    <w:rsid w:val="37661A13"/>
    <w:rsid w:val="377A1090"/>
    <w:rsid w:val="3793032E"/>
    <w:rsid w:val="384521D9"/>
    <w:rsid w:val="38710670"/>
    <w:rsid w:val="38D429AD"/>
    <w:rsid w:val="39047736"/>
    <w:rsid w:val="39DA437E"/>
    <w:rsid w:val="3A0B0650"/>
    <w:rsid w:val="3A192D6D"/>
    <w:rsid w:val="3AF4276A"/>
    <w:rsid w:val="3B854432"/>
    <w:rsid w:val="3BDA652C"/>
    <w:rsid w:val="3C1A0EB4"/>
    <w:rsid w:val="3C3C2D43"/>
    <w:rsid w:val="3E524A9F"/>
    <w:rsid w:val="3EAE40E4"/>
    <w:rsid w:val="3EC534C3"/>
    <w:rsid w:val="3F60143E"/>
    <w:rsid w:val="400022D9"/>
    <w:rsid w:val="404E7113"/>
    <w:rsid w:val="40B21825"/>
    <w:rsid w:val="413D1A37"/>
    <w:rsid w:val="420F7119"/>
    <w:rsid w:val="427A2817"/>
    <w:rsid w:val="42BC698B"/>
    <w:rsid w:val="42D75573"/>
    <w:rsid w:val="436524E0"/>
    <w:rsid w:val="4368266F"/>
    <w:rsid w:val="439A6EE9"/>
    <w:rsid w:val="43B06F6A"/>
    <w:rsid w:val="44F06DC0"/>
    <w:rsid w:val="46C6427C"/>
    <w:rsid w:val="47B16CDB"/>
    <w:rsid w:val="47F72214"/>
    <w:rsid w:val="48031B4B"/>
    <w:rsid w:val="484418FD"/>
    <w:rsid w:val="48F66061"/>
    <w:rsid w:val="49F25388"/>
    <w:rsid w:val="4A38723F"/>
    <w:rsid w:val="4A606D15"/>
    <w:rsid w:val="4B6A35F4"/>
    <w:rsid w:val="4C763018"/>
    <w:rsid w:val="4DFA123D"/>
    <w:rsid w:val="4E094A4F"/>
    <w:rsid w:val="4E4B032E"/>
    <w:rsid w:val="4F506DD9"/>
    <w:rsid w:val="4F6603AB"/>
    <w:rsid w:val="4F912F4E"/>
    <w:rsid w:val="509652C3"/>
    <w:rsid w:val="51033D8B"/>
    <w:rsid w:val="511E595C"/>
    <w:rsid w:val="5133132A"/>
    <w:rsid w:val="52552958"/>
    <w:rsid w:val="53081779"/>
    <w:rsid w:val="531B76FE"/>
    <w:rsid w:val="536355E1"/>
    <w:rsid w:val="53784891"/>
    <w:rsid w:val="53E21FCA"/>
    <w:rsid w:val="54302D35"/>
    <w:rsid w:val="547A57A4"/>
    <w:rsid w:val="54DE6C35"/>
    <w:rsid w:val="56472DD1"/>
    <w:rsid w:val="56584CC4"/>
    <w:rsid w:val="56921A85"/>
    <w:rsid w:val="56A93273"/>
    <w:rsid w:val="570F5142"/>
    <w:rsid w:val="57FA1ED8"/>
    <w:rsid w:val="581671A8"/>
    <w:rsid w:val="582D5E52"/>
    <w:rsid w:val="58FD7F05"/>
    <w:rsid w:val="592C157F"/>
    <w:rsid w:val="593D5DB9"/>
    <w:rsid w:val="59444ABF"/>
    <w:rsid w:val="5970652C"/>
    <w:rsid w:val="5AF52D45"/>
    <w:rsid w:val="5B21162A"/>
    <w:rsid w:val="5B6A1223"/>
    <w:rsid w:val="5CA068A2"/>
    <w:rsid w:val="5CE60C2C"/>
    <w:rsid w:val="5D2D02B0"/>
    <w:rsid w:val="5D3F3C3B"/>
    <w:rsid w:val="5D7E19DA"/>
    <w:rsid w:val="5DD415C7"/>
    <w:rsid w:val="5DF03535"/>
    <w:rsid w:val="5E2C3EFE"/>
    <w:rsid w:val="5E4D3990"/>
    <w:rsid w:val="60917251"/>
    <w:rsid w:val="61A60ADB"/>
    <w:rsid w:val="61AB7E9F"/>
    <w:rsid w:val="625E4E89"/>
    <w:rsid w:val="62647CEB"/>
    <w:rsid w:val="62A274F4"/>
    <w:rsid w:val="62D43425"/>
    <w:rsid w:val="63F133CD"/>
    <w:rsid w:val="649C7F73"/>
    <w:rsid w:val="64CC2606"/>
    <w:rsid w:val="652A37D1"/>
    <w:rsid w:val="65CB0B10"/>
    <w:rsid w:val="66A17AC3"/>
    <w:rsid w:val="66B4398F"/>
    <w:rsid w:val="670C5B7E"/>
    <w:rsid w:val="671F30C5"/>
    <w:rsid w:val="6751773B"/>
    <w:rsid w:val="67E408A1"/>
    <w:rsid w:val="6842654D"/>
    <w:rsid w:val="68DD74D8"/>
    <w:rsid w:val="69E13E6B"/>
    <w:rsid w:val="69F75A58"/>
    <w:rsid w:val="6A2B4273"/>
    <w:rsid w:val="6A333127"/>
    <w:rsid w:val="6BFE3AE0"/>
    <w:rsid w:val="6C00528B"/>
    <w:rsid w:val="6C3F14DF"/>
    <w:rsid w:val="6C465951"/>
    <w:rsid w:val="6C557385"/>
    <w:rsid w:val="6C731F01"/>
    <w:rsid w:val="6CBE13CE"/>
    <w:rsid w:val="6CF546C4"/>
    <w:rsid w:val="6CF61423"/>
    <w:rsid w:val="6D95576D"/>
    <w:rsid w:val="6DE54739"/>
    <w:rsid w:val="6E54594B"/>
    <w:rsid w:val="6E5B49FB"/>
    <w:rsid w:val="6F9C07A1"/>
    <w:rsid w:val="70263B69"/>
    <w:rsid w:val="702F7EED"/>
    <w:rsid w:val="70673B2B"/>
    <w:rsid w:val="708E730A"/>
    <w:rsid w:val="70BC5C25"/>
    <w:rsid w:val="710827F0"/>
    <w:rsid w:val="71306870"/>
    <w:rsid w:val="71E06C11"/>
    <w:rsid w:val="721A160A"/>
    <w:rsid w:val="721B1FB1"/>
    <w:rsid w:val="73247AB1"/>
    <w:rsid w:val="73B452D9"/>
    <w:rsid w:val="73D97ACE"/>
    <w:rsid w:val="74A215D5"/>
    <w:rsid w:val="76A07D97"/>
    <w:rsid w:val="76FC66BF"/>
    <w:rsid w:val="774E6279"/>
    <w:rsid w:val="77771912"/>
    <w:rsid w:val="786E1181"/>
    <w:rsid w:val="78BD078C"/>
    <w:rsid w:val="78E81581"/>
    <w:rsid w:val="78F9177F"/>
    <w:rsid w:val="793C296C"/>
    <w:rsid w:val="79E24918"/>
    <w:rsid w:val="79EF36D5"/>
    <w:rsid w:val="7AA15E8B"/>
    <w:rsid w:val="7AAB0D1D"/>
    <w:rsid w:val="7AD95625"/>
    <w:rsid w:val="7AF072A8"/>
    <w:rsid w:val="7B0326A2"/>
    <w:rsid w:val="7B113011"/>
    <w:rsid w:val="7B6B3EAD"/>
    <w:rsid w:val="7C142DB9"/>
    <w:rsid w:val="7C5A4544"/>
    <w:rsid w:val="7C6813C9"/>
    <w:rsid w:val="7CC50FB0"/>
    <w:rsid w:val="7CE612FA"/>
    <w:rsid w:val="7D7E2B7B"/>
    <w:rsid w:val="7DBD4D8A"/>
    <w:rsid w:val="7E260B81"/>
    <w:rsid w:val="7E61605D"/>
    <w:rsid w:val="7EA36676"/>
    <w:rsid w:val="7EF405F8"/>
    <w:rsid w:val="7F1906E6"/>
    <w:rsid w:val="7F250E39"/>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napToGrid w:val="0"/>
      <w:spacing w:before="340" w:after="330"/>
      <w:outlineLvl w:val="0"/>
    </w:pPr>
    <w:rPr>
      <w:rFonts w:eastAsia="黑体"/>
      <w:snapToGrid w:val="0"/>
      <w:kern w:val="0"/>
      <w:sz w:val="28"/>
      <w:szCs w:val="2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1"/>
    <w:basedOn w:val="1"/>
    <w:next w:val="1"/>
    <w:semiHidden/>
    <w:unhideWhenUsed/>
    <w:qFormat/>
    <w:uiPriority w:val="39"/>
  </w:style>
  <w:style w:type="character" w:styleId="8">
    <w:name w:val="page number"/>
    <w:qFormat/>
    <w:uiPriority w:val="0"/>
  </w:style>
  <w:style w:type="paragraph" w:customStyle="1" w:styleId="9">
    <w:name w:val="正文标"/>
    <w:basedOn w:val="1"/>
    <w:qFormat/>
    <w:uiPriority w:val="0"/>
    <w:pPr>
      <w:adjustRightInd w:val="0"/>
      <w:snapToGrid w:val="0"/>
      <w:spacing w:line="500" w:lineRule="exact"/>
      <w:ind w:firstLine="200" w:firstLineChars="200"/>
    </w:pPr>
    <w:rPr>
      <w:rFonts w:ascii="Times New Roman" w:hAnsi="Times New Roman"/>
      <w:sz w:val="28"/>
    </w:rPr>
  </w:style>
  <w:style w:type="paragraph" w:customStyle="1" w:styleId="10">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40</Words>
  <Characters>40</Characters>
  <Lines>114</Lines>
  <Paragraphs>72</Paragraphs>
  <TotalTime>1</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2026-09-29T05:41:00Z</dcterms:created>
  <dc:creator>孟景祥</dc:creator>
  <cp:lastModifiedBy>huang华邦</cp:lastModifiedBy>
  <dcterms:modified xsi:type="dcterms:W3CDTF">2026-10-25T15:28:32Z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eyJoZGlkIjoiNTUzOGNkM2E5ZjI0YTEwNTBjOWE1YmY2NzA2Njk0YWUiLCJ1c2VySWQiOiIzOTU0NDEwNjIifQ==</vt:lpwstr>
  </property>
  <property fmtid="{D5CDD505-2E9C-101B-9397-08002B2CF9AE}" pid="3" name="KSOProductBuildVer">
    <vt:lpwstr>2052-12.1.0.29161</vt:lpwstr>
  </property>
  <property fmtid="{D5CDD505-2E9C-101B-9397-08002B2CF9AE}" pid="4" name="ICV">
    <vt:lpwstr>BD7202C99ED7407B9E9219EC617B2A9A_13</vt:lpwstr>
  </property>
</Properties>
</file>