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21103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48028274">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hint="eastAsia" w:ascii="黑体" w:hAnsi="黑体" w:eastAsia="黑体" w:cs="黑体"/>
                <w:sz w:val="21"/>
                <w:szCs w:val="21"/>
              </w:rPr>
              <w:t>ICS</w:t>
            </w:r>
            <w:r>
              <w:rPr>
                <w:rFonts w:ascii="黑体" w:hAnsi="黑体" w:eastAsia="黑体"/>
                <w:sz w:val="21"/>
                <w:szCs w:val="21"/>
              </w:rPr>
              <w:t xml:space="preserve">  </w:t>
            </w:r>
          </w:p>
        </w:tc>
        <w:tc>
          <w:tcPr>
            <w:tcW w:w="8855" w:type="dxa"/>
          </w:tcPr>
          <w:p w14:paraId="65C280EA">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65.020.20</w:t>
            </w:r>
            <w:r>
              <w:rPr>
                <w:rFonts w:ascii="黑体" w:hAnsi="黑体" w:eastAsia="黑体"/>
                <w:sz w:val="21"/>
                <w:szCs w:val="21"/>
              </w:rPr>
              <w:t xml:space="preserve"> </w:t>
            </w:r>
            <w:r>
              <w:rPr>
                <w:rFonts w:ascii="黑体" w:hAnsi="黑体" w:eastAsia="黑体"/>
                <w:sz w:val="21"/>
                <w:szCs w:val="21"/>
              </w:rPr>
              <w:fldChar w:fldCharType="end"/>
            </w:r>
            <w:bookmarkEnd w:id="0"/>
          </w:p>
        </w:tc>
      </w:tr>
      <w:tr w14:paraId="704AD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7CA6C1A">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hint="eastAsia" w:ascii="黑体" w:hAnsi="黑体" w:eastAsia="黑体" w:cs="黑体"/>
                <w:sz w:val="21"/>
                <w:szCs w:val="21"/>
              </w:rPr>
              <w:t>CCS</w:t>
            </w:r>
            <w:r>
              <w:rPr>
                <w:rFonts w:ascii="Times New Roman" w:hAnsi="Times New Roman" w:eastAsia="黑体"/>
                <w:sz w:val="21"/>
                <w:szCs w:val="21"/>
              </w:rPr>
              <w:t xml:space="preserve"> </w:t>
            </w:r>
            <w:r>
              <w:rPr>
                <w:rFonts w:ascii="黑体" w:hAnsi="黑体" w:eastAsia="黑体"/>
                <w:sz w:val="21"/>
                <w:szCs w:val="21"/>
              </w:rPr>
              <w:t xml:space="preserve"> </w:t>
            </w:r>
          </w:p>
        </w:tc>
        <w:tc>
          <w:tcPr>
            <w:tcW w:w="8855" w:type="dxa"/>
          </w:tcPr>
          <w:p w14:paraId="3D46784B">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B 64</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22A234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591C95C8">
            <w:pPr>
              <w:pStyle w:val="49"/>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44</w:t>
            </w:r>
            <w:r>
              <w:fldChar w:fldCharType="end"/>
            </w:r>
            <w:bookmarkEnd w:id="3"/>
          </w:p>
        </w:tc>
      </w:tr>
    </w:tbl>
    <w:p w14:paraId="2EB0844E">
      <w:pPr>
        <w:pStyle w:val="50"/>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广东省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59671035">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rPr>
        <w:t>44</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51F41988">
      <w:pPr>
        <w:pStyle w:val="196"/>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35F9A98F">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44ECC07C">
      <w:pPr>
        <w:pStyle w:val="50"/>
        <w:framePr w:w="9639" w:h="6976" w:hRule="exact" w:hSpace="0" w:vSpace="0" w:wrap="around" w:hAnchor="page" w:y="6408"/>
        <w:jc w:val="center"/>
        <w:rPr>
          <w:rFonts w:ascii="黑体" w:hAnsi="黑体" w:eastAsia="黑体"/>
          <w:b w:val="0"/>
          <w:bCs w:val="0"/>
          <w:w w:val="100"/>
        </w:rPr>
      </w:pPr>
    </w:p>
    <w:p w14:paraId="5C65524E">
      <w:pPr>
        <w:pStyle w:val="197"/>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坡垒培育技术规程</w:t>
      </w:r>
      <w:r>
        <w:fldChar w:fldCharType="end"/>
      </w:r>
      <w:bookmarkEnd w:id="9"/>
    </w:p>
    <w:p w14:paraId="5C7A7412">
      <w:pPr>
        <w:framePr w:w="9639" w:h="6974" w:hRule="exact" w:wrap="around" w:vAnchor="page" w:hAnchor="page" w:x="1419" w:y="6408" w:anchorLock="1"/>
        <w:ind w:left="-1418"/>
      </w:pPr>
    </w:p>
    <w:p w14:paraId="07AAE3A2">
      <w:pPr>
        <w:pStyle w:val="125"/>
        <w:framePr w:w="9639" w:h="6974" w:hRule="exact" w:wrap="around" w:vAnchor="page" w:hAnchor="page" w:x="1419" w:y="6408" w:anchorLock="1"/>
        <w:textAlignment w:val="bottom"/>
        <w:rPr>
          <w:rFonts w:eastAsia="黑体"/>
          <w:szCs w:val="28"/>
        </w:rPr>
      </w:pPr>
      <w:r>
        <w:rPr>
          <w:rFonts w:hint="eastAsia" w:eastAsia="黑体"/>
          <w:szCs w:val="28"/>
        </w:rPr>
        <w:t xml:space="preserve">Code of practice for cultivation of </w:t>
      </w:r>
      <w:r>
        <w:rPr>
          <w:rFonts w:hint="eastAsia" w:eastAsia="黑体"/>
          <w:i/>
          <w:szCs w:val="28"/>
        </w:rPr>
        <w:t>Hopea hainanensis</w:t>
      </w:r>
    </w:p>
    <w:p w14:paraId="0C91D71A">
      <w:pPr>
        <w:framePr w:w="9639" w:h="6974" w:hRule="exact" w:wrap="around" w:vAnchor="page" w:hAnchor="page" w:x="1419" w:y="6408" w:anchorLock="1"/>
        <w:spacing w:line="760" w:lineRule="exact"/>
        <w:ind w:left="-1418"/>
      </w:pPr>
    </w:p>
    <w:p w14:paraId="5219698A">
      <w:pPr>
        <w:pStyle w:val="125"/>
        <w:framePr w:w="9639" w:h="6974" w:hRule="exact" w:wrap="around" w:vAnchor="page" w:hAnchor="page" w:x="1419" w:y="6408" w:anchorLock="1"/>
        <w:textAlignment w:val="bottom"/>
        <w:rPr>
          <w:rFonts w:eastAsia="黑体"/>
          <w:szCs w:val="28"/>
        </w:rPr>
      </w:pPr>
    </w:p>
    <w:p w14:paraId="3C2EC10F">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5"/>
              <w:listEntry w:val=" "/>
              <w:listEntry w:val="草案版次选择"/>
              <w:listEntry w:val="（工作组讨论稿）"/>
              <w:listEntry w:val="（征求意见稿）"/>
              <w:listEntry w:val="（送审讨论稿）"/>
              <w:listEntry w:val="（送审稿）"/>
              <w:listEntry w:val="（报批稿）"/>
            </w:ddList>
          </w:ffData>
        </w:fldChar>
      </w:r>
      <w:bookmarkStart w:id="10" w:name="下拉1"/>
      <w:r>
        <w:rPr>
          <w:sz w:val="24"/>
          <w:szCs w:val="28"/>
        </w:rPr>
        <w:instrText xml:space="preserve"> FORMDROPDOWN </w:instrText>
      </w:r>
      <w:r>
        <w:rPr>
          <w:sz w:val="24"/>
          <w:szCs w:val="28"/>
        </w:rPr>
        <w:fldChar w:fldCharType="separate"/>
      </w:r>
      <w:r>
        <w:rPr>
          <w:sz w:val="24"/>
          <w:szCs w:val="28"/>
        </w:rPr>
        <w:fldChar w:fldCharType="end"/>
      </w:r>
      <w:bookmarkEnd w:id="10"/>
    </w:p>
    <w:p w14:paraId="065232AA">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1" w:name="CMPLSH_DATE"/>
      <w:r>
        <w:rPr>
          <w:sz w:val="21"/>
          <w:szCs w:val="28"/>
        </w:rPr>
        <w:instrText xml:space="preserve"> FORMTEXT </w:instrText>
      </w:r>
      <w:r>
        <w:rPr>
          <w:sz w:val="21"/>
          <w:szCs w:val="28"/>
        </w:rPr>
        <w:fldChar w:fldCharType="separate"/>
      </w:r>
      <w:r>
        <w:rPr>
          <w:rFonts w:hint="eastAsia"/>
          <w:sz w:val="21"/>
          <w:szCs w:val="28"/>
        </w:rPr>
        <w:t>（本草案完成时间：2026年9月26日）</w:t>
      </w:r>
      <w:r>
        <w:rPr>
          <w:sz w:val="21"/>
          <w:szCs w:val="28"/>
        </w:rPr>
        <w:fldChar w:fldCharType="end"/>
      </w:r>
      <w:bookmarkEnd w:id="11"/>
    </w:p>
    <w:p w14:paraId="6AA10B87">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2" w:name="下拉2"/>
      <w:r>
        <w:rPr>
          <w:b/>
          <w:sz w:val="21"/>
          <w:szCs w:val="28"/>
        </w:rPr>
        <w:instrText xml:space="preserve"> FORMDROPDOWN </w:instrText>
      </w:r>
      <w:r>
        <w:rPr>
          <w:b/>
          <w:sz w:val="21"/>
          <w:szCs w:val="28"/>
        </w:rPr>
        <w:fldChar w:fldCharType="separate"/>
      </w:r>
      <w:r>
        <w:rPr>
          <w:b/>
          <w:sz w:val="21"/>
          <w:szCs w:val="28"/>
        </w:rPr>
        <w:fldChar w:fldCharType="end"/>
      </w:r>
      <w:bookmarkEnd w:id="12"/>
    </w:p>
    <w:p w14:paraId="47F4B123">
      <w:pPr>
        <w:pStyle w:val="193"/>
        <w:framePr w:wrap="around" w:y="14176"/>
      </w:pPr>
      <w:r>
        <w:rPr>
          <w:rFonts w:ascii="黑体"/>
        </w:rPr>
        <w:fldChar w:fldCharType="begin">
          <w:ffData>
            <w:name w:val="PLSH_DATE_Y"/>
            <w:enabled/>
            <w:calcOnExit w:val="0"/>
            <w:textInput>
              <w:default w:val="XXXX"/>
              <w:maxLength w:val="4"/>
            </w:textInput>
          </w:ffData>
        </w:fldChar>
      </w:r>
      <w:bookmarkStart w:id="13"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3"/>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4"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5"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发布</w:t>
      </w:r>
    </w:p>
    <w:p w14:paraId="124E13A9">
      <w:pPr>
        <w:pStyle w:val="194"/>
        <w:framePr w:wrap="around" w:y="14176"/>
      </w:pPr>
      <w:r>
        <w:rPr>
          <w:rFonts w:ascii="黑体"/>
        </w:rPr>
        <w:fldChar w:fldCharType="begin">
          <w:ffData>
            <w:name w:val="CROT_DATE_Y"/>
            <w:enabled/>
            <w:calcOnExit w:val="0"/>
            <w:textInput>
              <w:default w:val="XXXX"/>
              <w:maxLength w:val="4"/>
            </w:textInput>
          </w:ffData>
        </w:fldChar>
      </w:r>
      <w:bookmarkStart w:id="16"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6"/>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7"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8"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rPr>
          <w:rFonts w:hint="eastAsia"/>
        </w:rPr>
        <w:t>实施</w:t>
      </w:r>
    </w:p>
    <w:p w14:paraId="6CD6FFB8">
      <w:pPr>
        <w:pStyle w:val="151"/>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19" w:name="fm"/>
      <w:r>
        <w:rPr>
          <w:rFonts w:hAnsi="黑体"/>
          <w:w w:val="100"/>
          <w:sz w:val="28"/>
        </w:rPr>
        <w:instrText xml:space="preserve"> FORMTEXT </w:instrText>
      </w:r>
      <w:r>
        <w:rPr>
          <w:rFonts w:hAnsi="黑体"/>
          <w:w w:val="100"/>
          <w:sz w:val="28"/>
        </w:rPr>
        <w:fldChar w:fldCharType="separate"/>
      </w:r>
      <w:r>
        <w:rPr>
          <w:rFonts w:hint="eastAsia" w:hAnsi="黑体"/>
          <w:w w:val="100"/>
          <w:sz w:val="28"/>
        </w:rPr>
        <w:t>广东省市场监督管理局</w:t>
      </w:r>
      <w:r>
        <w:rPr>
          <w:rFonts w:hAnsi="黑体"/>
          <w:w w:val="100"/>
          <w:sz w:val="28"/>
        </w:rPr>
        <w:fldChar w:fldCharType="end"/>
      </w:r>
      <w:bookmarkEnd w:id="19"/>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17FAEEFB">
      <w:pPr>
        <w:rPr>
          <w:rFonts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20CF626C">
      <w:pPr>
        <w:pStyle w:val="91"/>
        <w:spacing w:after="468"/>
      </w:pPr>
      <w:bookmarkStart w:id="20" w:name="BookMark1"/>
      <w:r>
        <w:rPr>
          <w:spacing w:val="320"/>
        </w:rPr>
        <w:t>目</w:t>
      </w:r>
      <w:r>
        <w:t>次</w:t>
      </w:r>
    </w:p>
    <w:p w14:paraId="3407E5A3">
      <w:pPr>
        <w:pStyle w:val="19"/>
        <w:tabs>
          <w:tab w:val="right" w:leader="dot" w:pos="9344"/>
        </w:tabs>
        <w:rPr>
          <w:rFonts w:asciiTheme="minorHAnsi" w:hAnsiTheme="minorHAnsi" w:eastAsiaTheme="minorEastAsia" w:cstheme="minorBidi"/>
          <w:szCs w:val="22"/>
        </w:rPr>
      </w:pPr>
      <w:r>
        <w:fldChar w:fldCharType="begin"/>
      </w:r>
      <w:r>
        <w:instrText xml:space="preserve"> TOC \o "1-1" \h </w:instrText>
      </w:r>
      <w:r>
        <w:fldChar w:fldCharType="separate"/>
      </w:r>
      <w:bookmarkStart w:id="21" w:name="OLE_LINK11"/>
      <w:r>
        <w:fldChar w:fldCharType="begin"/>
      </w:r>
      <w:r>
        <w:instrText xml:space="preserve"> HYPERLINK \l "_Toc231679529" </w:instrText>
      </w:r>
      <w:r>
        <w:fldChar w:fldCharType="separate"/>
      </w:r>
      <w:r>
        <w:rPr>
          <w:rFonts w:hint="eastAsia"/>
          <w:lang w:val="en-US" w:eastAsia="zh-CN"/>
        </w:rPr>
        <w:t>前言</w:t>
      </w:r>
      <w:r>
        <w:tab/>
      </w:r>
      <w:r>
        <w:fldChar w:fldCharType="begin"/>
      </w:r>
      <w:r>
        <w:instrText xml:space="preserve"> PAGEREF _Toc231679529 \h </w:instrText>
      </w:r>
      <w:r>
        <w:fldChar w:fldCharType="separate"/>
      </w:r>
      <w:r>
        <w:t>II</w:t>
      </w:r>
      <w:r>
        <w:fldChar w:fldCharType="end"/>
      </w:r>
      <w:r>
        <w:fldChar w:fldCharType="end"/>
      </w:r>
    </w:p>
    <w:p w14:paraId="33BA7D4A">
      <w:pPr>
        <w:pStyle w:val="19"/>
        <w:tabs>
          <w:tab w:val="right" w:leader="dot" w:pos="9344"/>
        </w:tabs>
        <w:rPr>
          <w:rFonts w:asciiTheme="minorHAnsi" w:hAnsiTheme="minorHAnsi" w:eastAsiaTheme="minorEastAsia" w:cstheme="minorBidi"/>
          <w:szCs w:val="22"/>
        </w:rPr>
      </w:pPr>
      <w:r>
        <w:fldChar w:fldCharType="begin"/>
      </w:r>
      <w:r>
        <w:instrText xml:space="preserve"> HYPERLINK \l "_Toc231679530" </w:instrText>
      </w:r>
      <w:r>
        <w:fldChar w:fldCharType="separate"/>
      </w:r>
      <w:r>
        <w:rPr>
          <w:rFonts w:hint="eastAsia"/>
          <w:lang w:val="en-US" w:eastAsia="zh-CN"/>
        </w:rPr>
        <w:t>引言</w:t>
      </w:r>
      <w:r>
        <w:tab/>
      </w:r>
      <w:r>
        <w:fldChar w:fldCharType="begin"/>
      </w:r>
      <w:r>
        <w:instrText xml:space="preserve"> PAGEREF _Toc231679530 \h </w:instrText>
      </w:r>
      <w:r>
        <w:fldChar w:fldCharType="separate"/>
      </w:r>
      <w:r>
        <w:t>III</w:t>
      </w:r>
      <w:r>
        <w:fldChar w:fldCharType="end"/>
      </w:r>
      <w:r>
        <w:fldChar w:fldCharType="end"/>
      </w:r>
    </w:p>
    <w:p w14:paraId="6F33C74E">
      <w:pPr>
        <w:pStyle w:val="19"/>
        <w:tabs>
          <w:tab w:val="right" w:leader="dot" w:pos="9344"/>
        </w:tabs>
        <w:rPr>
          <w:rFonts w:asciiTheme="minorHAnsi" w:hAnsiTheme="minorHAnsi" w:eastAsiaTheme="minorEastAsia" w:cstheme="minorBidi"/>
          <w:szCs w:val="22"/>
        </w:rPr>
      </w:pPr>
      <w:r>
        <w:fldChar w:fldCharType="begin"/>
      </w:r>
      <w:r>
        <w:instrText xml:space="preserve"> HYPERLINK \l "_Toc231679531" </w:instrText>
      </w:r>
      <w:r>
        <w:fldChar w:fldCharType="separate"/>
      </w:r>
      <w:r>
        <w:rPr>
          <w:rStyle w:val="32"/>
        </w:rPr>
        <w:t>1</w:t>
      </w:r>
      <w:r>
        <w:rPr>
          <w:rStyle w:val="32"/>
          <w:rFonts w:hint="eastAsia"/>
        </w:rPr>
        <w:t xml:space="preserve"> 范围</w:t>
      </w:r>
      <w:r>
        <w:tab/>
      </w:r>
      <w:r>
        <w:rPr>
          <w:rFonts w:hint="eastAsia"/>
        </w:rPr>
        <w:t>1</w:t>
      </w:r>
      <w:r>
        <w:rPr>
          <w:rFonts w:hint="eastAsia"/>
        </w:rPr>
        <w:fldChar w:fldCharType="end"/>
      </w:r>
    </w:p>
    <w:p w14:paraId="61CB9641">
      <w:pPr>
        <w:pStyle w:val="19"/>
        <w:tabs>
          <w:tab w:val="right" w:leader="dot" w:pos="9344"/>
        </w:tabs>
        <w:rPr>
          <w:rFonts w:asciiTheme="minorHAnsi" w:hAnsiTheme="minorHAnsi" w:eastAsiaTheme="minorEastAsia" w:cstheme="minorBidi"/>
          <w:szCs w:val="22"/>
        </w:rPr>
      </w:pPr>
      <w:r>
        <w:fldChar w:fldCharType="begin"/>
      </w:r>
      <w:r>
        <w:instrText xml:space="preserve"> HYPERLINK \l "_Toc231679532" </w:instrText>
      </w:r>
      <w:r>
        <w:fldChar w:fldCharType="separate"/>
      </w:r>
      <w:r>
        <w:rPr>
          <w:rStyle w:val="32"/>
        </w:rPr>
        <w:t>2</w:t>
      </w:r>
      <w:r>
        <w:rPr>
          <w:rStyle w:val="32"/>
          <w:rFonts w:hint="eastAsia"/>
        </w:rPr>
        <w:t xml:space="preserve"> 规范性引用文件</w:t>
      </w:r>
      <w:r>
        <w:tab/>
      </w:r>
      <w:r>
        <w:rPr>
          <w:rFonts w:hint="eastAsia"/>
        </w:rPr>
        <w:t>1</w:t>
      </w:r>
      <w:r>
        <w:rPr>
          <w:rFonts w:hint="eastAsia"/>
        </w:rPr>
        <w:fldChar w:fldCharType="end"/>
      </w:r>
    </w:p>
    <w:p w14:paraId="05420447">
      <w:pPr>
        <w:pStyle w:val="19"/>
        <w:tabs>
          <w:tab w:val="right" w:leader="dot" w:pos="9344"/>
        </w:tabs>
        <w:rPr>
          <w:rFonts w:asciiTheme="minorHAnsi" w:hAnsiTheme="minorHAnsi" w:eastAsiaTheme="minorEastAsia" w:cstheme="minorBidi"/>
          <w:szCs w:val="22"/>
        </w:rPr>
      </w:pPr>
      <w:r>
        <w:fldChar w:fldCharType="begin"/>
      </w:r>
      <w:r>
        <w:instrText xml:space="preserve"> HYPERLINK \l "_Toc231679533" </w:instrText>
      </w:r>
      <w:r>
        <w:fldChar w:fldCharType="separate"/>
      </w:r>
      <w:r>
        <w:rPr>
          <w:rStyle w:val="32"/>
        </w:rPr>
        <w:t>3</w:t>
      </w:r>
      <w:r>
        <w:rPr>
          <w:rStyle w:val="32"/>
          <w:rFonts w:hint="eastAsia"/>
        </w:rPr>
        <w:t xml:space="preserve"> 术语和定义</w:t>
      </w:r>
      <w:r>
        <w:tab/>
      </w:r>
      <w:r>
        <w:rPr>
          <w:rFonts w:hint="eastAsia"/>
        </w:rPr>
        <w:t>1</w:t>
      </w:r>
      <w:r>
        <w:rPr>
          <w:rFonts w:hint="eastAsia"/>
        </w:rPr>
        <w:fldChar w:fldCharType="end"/>
      </w:r>
    </w:p>
    <w:p w14:paraId="61EE919A">
      <w:pPr>
        <w:pStyle w:val="19"/>
        <w:tabs>
          <w:tab w:val="right" w:leader="dot" w:pos="9344"/>
        </w:tabs>
        <w:rPr>
          <w:rFonts w:asciiTheme="minorHAnsi" w:hAnsiTheme="minorHAnsi" w:eastAsiaTheme="minorEastAsia" w:cstheme="minorBidi"/>
          <w:szCs w:val="22"/>
        </w:rPr>
      </w:pPr>
      <w:r>
        <w:fldChar w:fldCharType="begin"/>
      </w:r>
      <w:r>
        <w:instrText xml:space="preserve"> HYPERLINK \l "_Toc231679535" </w:instrText>
      </w:r>
      <w:r>
        <w:fldChar w:fldCharType="separate"/>
      </w:r>
      <w:r>
        <w:rPr>
          <w:rStyle w:val="32"/>
          <w:rFonts w:hint="eastAsia"/>
        </w:rPr>
        <w:t>4 种子采集与处理</w:t>
      </w:r>
      <w:r>
        <w:tab/>
      </w:r>
      <w:r>
        <w:rPr>
          <w:rFonts w:hint="eastAsia"/>
        </w:rPr>
        <w:t>1</w:t>
      </w:r>
      <w:r>
        <w:rPr>
          <w:rFonts w:hint="eastAsia"/>
        </w:rPr>
        <w:fldChar w:fldCharType="end"/>
      </w:r>
    </w:p>
    <w:p w14:paraId="7F4101C0">
      <w:pPr>
        <w:pStyle w:val="19"/>
        <w:tabs>
          <w:tab w:val="right" w:leader="dot" w:pos="9344"/>
        </w:tabs>
        <w:rPr>
          <w:rFonts w:asciiTheme="minorHAnsi" w:hAnsiTheme="minorHAnsi" w:eastAsiaTheme="minorEastAsia" w:cstheme="minorBidi"/>
          <w:szCs w:val="22"/>
        </w:rPr>
      </w:pPr>
      <w:r>
        <w:fldChar w:fldCharType="begin"/>
      </w:r>
      <w:r>
        <w:instrText xml:space="preserve"> HYPERLINK \l "_Toc231679536" </w:instrText>
      </w:r>
      <w:r>
        <w:fldChar w:fldCharType="separate"/>
      </w:r>
      <w:r>
        <w:rPr>
          <w:rStyle w:val="32"/>
          <w:rFonts w:hint="eastAsia"/>
        </w:rPr>
        <w:t>5 苗木培育</w:t>
      </w:r>
      <w:r>
        <w:tab/>
      </w:r>
      <w:r>
        <w:rPr>
          <w:rFonts w:hint="eastAsia"/>
        </w:rPr>
        <w:t>2</w:t>
      </w:r>
      <w:r>
        <w:rPr>
          <w:rFonts w:hint="eastAsia"/>
        </w:rPr>
        <w:fldChar w:fldCharType="end"/>
      </w:r>
    </w:p>
    <w:p w14:paraId="182CE1F2">
      <w:pPr>
        <w:pStyle w:val="19"/>
        <w:tabs>
          <w:tab w:val="right" w:leader="dot" w:pos="9344"/>
        </w:tabs>
        <w:rPr>
          <w:rFonts w:asciiTheme="minorHAnsi" w:hAnsiTheme="minorHAnsi" w:eastAsiaTheme="minorEastAsia" w:cstheme="minorBidi"/>
          <w:szCs w:val="22"/>
        </w:rPr>
      </w:pPr>
      <w:r>
        <w:fldChar w:fldCharType="begin"/>
      </w:r>
      <w:r>
        <w:instrText xml:space="preserve"> HYPERLINK \l "_Toc231679537" </w:instrText>
      </w:r>
      <w:r>
        <w:fldChar w:fldCharType="separate"/>
      </w:r>
      <w:r>
        <w:rPr>
          <w:rStyle w:val="32"/>
          <w:rFonts w:hint="eastAsia"/>
        </w:rPr>
        <w:t>6 造林</w:t>
      </w:r>
      <w:r>
        <w:tab/>
      </w:r>
      <w:r>
        <w:rPr>
          <w:rFonts w:hint="eastAsia"/>
        </w:rPr>
        <w:t>3</w:t>
      </w:r>
      <w:r>
        <w:rPr>
          <w:rFonts w:hint="eastAsia"/>
        </w:rPr>
        <w:fldChar w:fldCharType="end"/>
      </w:r>
    </w:p>
    <w:p w14:paraId="30939AFF">
      <w:pPr>
        <w:pStyle w:val="19"/>
        <w:tabs>
          <w:tab w:val="right" w:leader="dot" w:pos="9344"/>
        </w:tabs>
        <w:rPr>
          <w:rFonts w:asciiTheme="minorHAnsi" w:hAnsiTheme="minorHAnsi" w:eastAsiaTheme="minorEastAsia" w:cstheme="minorBidi"/>
          <w:szCs w:val="22"/>
        </w:rPr>
      </w:pPr>
      <w:r>
        <w:fldChar w:fldCharType="begin"/>
      </w:r>
      <w:r>
        <w:instrText xml:space="preserve"> HYPERLINK \l "_Toc231679538" </w:instrText>
      </w:r>
      <w:r>
        <w:fldChar w:fldCharType="separate"/>
      </w:r>
      <w:r>
        <w:rPr>
          <w:rStyle w:val="32"/>
          <w:rFonts w:hint="eastAsia"/>
        </w:rPr>
        <w:t>7 抚育与管理</w:t>
      </w:r>
      <w:r>
        <w:tab/>
      </w:r>
      <w:r>
        <w:rPr>
          <w:rFonts w:hint="eastAsia"/>
        </w:rPr>
        <w:t>4</w:t>
      </w:r>
      <w:r>
        <w:rPr>
          <w:rFonts w:hint="eastAsia"/>
        </w:rPr>
        <w:fldChar w:fldCharType="end"/>
      </w:r>
    </w:p>
    <w:p w14:paraId="105EA533">
      <w:pPr>
        <w:pStyle w:val="19"/>
        <w:tabs>
          <w:tab w:val="right" w:leader="dot" w:pos="9344"/>
        </w:tabs>
        <w:rPr>
          <w:rFonts w:hint="eastAsia"/>
        </w:rPr>
      </w:pPr>
      <w:r>
        <w:fldChar w:fldCharType="begin"/>
      </w:r>
      <w:r>
        <w:instrText xml:space="preserve"> HYPERLINK \l "_Toc231679539" </w:instrText>
      </w:r>
      <w:r>
        <w:fldChar w:fldCharType="separate"/>
      </w:r>
      <w:r>
        <w:rPr>
          <w:rStyle w:val="32"/>
          <w:rFonts w:hint="eastAsia"/>
        </w:rPr>
        <w:t>8 采伐与更新</w:t>
      </w:r>
      <w:r>
        <w:tab/>
      </w:r>
      <w:r>
        <w:rPr>
          <w:rFonts w:hint="eastAsia"/>
        </w:rPr>
        <w:t>5</w:t>
      </w:r>
      <w:r>
        <w:rPr>
          <w:rFonts w:hint="eastAsia"/>
        </w:rPr>
        <w:fldChar w:fldCharType="end"/>
      </w:r>
    </w:p>
    <w:p w14:paraId="29344E30">
      <w:pPr>
        <w:pStyle w:val="19"/>
        <w:tabs>
          <w:tab w:val="right" w:leader="dot" w:pos="9344"/>
        </w:tabs>
        <w:rPr>
          <w:rFonts w:hint="eastAsia"/>
        </w:rPr>
      </w:pPr>
      <w:r>
        <w:fldChar w:fldCharType="begin"/>
      </w:r>
      <w:r>
        <w:instrText xml:space="preserve"> HYPERLINK \l "_Toc231679539" </w:instrText>
      </w:r>
      <w:r>
        <w:fldChar w:fldCharType="separate"/>
      </w:r>
      <w:r>
        <w:rPr>
          <w:rStyle w:val="32"/>
          <w:rFonts w:hint="eastAsia"/>
          <w:lang w:val="en-US" w:eastAsia="zh-CN"/>
        </w:rPr>
        <w:t>9</w:t>
      </w:r>
      <w:r>
        <w:rPr>
          <w:rStyle w:val="32"/>
          <w:rFonts w:hint="eastAsia"/>
        </w:rPr>
        <w:t xml:space="preserve"> </w:t>
      </w:r>
      <w:r>
        <w:rPr>
          <w:rStyle w:val="32"/>
          <w:rFonts w:hint="eastAsia"/>
          <w:lang w:val="en-US" w:eastAsia="zh-CN"/>
        </w:rPr>
        <w:t>病虫害防治</w:t>
      </w:r>
      <w:r>
        <w:tab/>
      </w:r>
      <w:r>
        <w:rPr>
          <w:rFonts w:hint="eastAsia"/>
        </w:rPr>
        <w:t>5</w:t>
      </w:r>
      <w:r>
        <w:rPr>
          <w:rFonts w:hint="eastAsia"/>
        </w:rPr>
        <w:fldChar w:fldCharType="end"/>
      </w:r>
    </w:p>
    <w:p w14:paraId="3A5C37DA">
      <w:pPr>
        <w:pStyle w:val="19"/>
        <w:tabs>
          <w:tab w:val="right" w:leader="dot" w:pos="9344"/>
        </w:tabs>
        <w:rPr>
          <w:rFonts w:asciiTheme="minorHAnsi" w:hAnsiTheme="minorHAnsi" w:eastAsiaTheme="minorEastAsia" w:cstheme="minorBidi"/>
          <w:szCs w:val="22"/>
        </w:rPr>
      </w:pPr>
      <w:r>
        <w:fldChar w:fldCharType="begin"/>
      </w:r>
      <w:r>
        <w:instrText xml:space="preserve"> HYPERLINK \l "_Toc231679540" </w:instrText>
      </w:r>
      <w:r>
        <w:fldChar w:fldCharType="separate"/>
      </w:r>
      <w:r>
        <w:rPr>
          <w:rStyle w:val="32"/>
          <w:rFonts w:hint="eastAsia"/>
          <w:lang w:val="en-US" w:eastAsia="zh-CN"/>
        </w:rPr>
        <w:t>10</w:t>
      </w:r>
      <w:r>
        <w:rPr>
          <w:rStyle w:val="32"/>
          <w:rFonts w:hint="eastAsia"/>
        </w:rPr>
        <w:t xml:space="preserve"> 档案管理</w:t>
      </w:r>
      <w:r>
        <w:tab/>
      </w:r>
      <w:r>
        <w:rPr>
          <w:rFonts w:hint="eastAsia"/>
        </w:rPr>
        <w:t>5</w:t>
      </w:r>
      <w:r>
        <w:rPr>
          <w:rFonts w:hint="eastAsia"/>
        </w:rPr>
        <w:fldChar w:fldCharType="end"/>
      </w:r>
      <w:bookmarkEnd w:id="21"/>
    </w:p>
    <w:p w14:paraId="7731D32A">
      <w:pPr>
        <w:pStyle w:val="91"/>
        <w:spacing w:after="468"/>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0"/>
    <w:p w14:paraId="0ED9101F">
      <w:pPr>
        <w:pStyle w:val="89"/>
        <w:spacing w:before="900" w:after="468"/>
      </w:pPr>
      <w:bookmarkStart w:id="22" w:name="_Toc231679529"/>
      <w:bookmarkStart w:id="23" w:name="BookMark2"/>
      <w:r>
        <w:rPr>
          <w:spacing w:val="320"/>
        </w:rPr>
        <w:t>前</w:t>
      </w:r>
      <w:r>
        <w:t>言</w:t>
      </w:r>
      <w:bookmarkEnd w:id="22"/>
    </w:p>
    <w:p w14:paraId="206F8E1F">
      <w:pPr>
        <w:pStyle w:val="56"/>
        <w:ind w:firstLine="420"/>
      </w:pPr>
      <w:r>
        <w:rPr>
          <w:rFonts w:hint="eastAsia"/>
        </w:rPr>
        <w:t>本文件按照</w:t>
      </w:r>
      <w:r>
        <w:rPr>
          <w:rFonts w:ascii="Times New Roman"/>
        </w:rPr>
        <w:t>GB/T 1.1—2020《</w:t>
      </w:r>
      <w:r>
        <w:rPr>
          <w:rFonts w:hint="eastAsia"/>
        </w:rPr>
        <w:t>标准化工作导则  第</w:t>
      </w:r>
      <w:r>
        <w:rPr>
          <w:rFonts w:ascii="Times New Roman"/>
        </w:rPr>
        <w:t>1</w:t>
      </w:r>
      <w:r>
        <w:rPr>
          <w:rFonts w:hint="eastAsia"/>
        </w:rPr>
        <w:t>部分：标准化文件的结构和起草规则》的规定起草。</w:t>
      </w:r>
    </w:p>
    <w:p w14:paraId="0F2B6AE3">
      <w:pPr>
        <w:pStyle w:val="56"/>
        <w:ind w:firstLine="420"/>
      </w:pPr>
      <w:r>
        <w:rPr>
          <w:rFonts w:hint="eastAsia"/>
        </w:rPr>
        <w:t>请注意本文件的某些内容可能涉及专利，本文件的发布机构不承担识别专利的责任。</w:t>
      </w:r>
    </w:p>
    <w:p w14:paraId="76B39D8F">
      <w:pPr>
        <w:pStyle w:val="56"/>
        <w:ind w:firstLine="420"/>
      </w:pPr>
      <w:r>
        <w:rPr>
          <w:rFonts w:hint="eastAsia"/>
        </w:rPr>
        <w:t>本文件由广东省林业局提出。</w:t>
      </w:r>
    </w:p>
    <w:p w14:paraId="3F4C3E81">
      <w:pPr>
        <w:pStyle w:val="56"/>
        <w:ind w:firstLine="420"/>
      </w:pPr>
      <w:r>
        <w:rPr>
          <w:rFonts w:hint="eastAsia"/>
        </w:rPr>
        <w:t>本文件由广东省林业标准化技术委员会（GD/TC 146）归口。</w:t>
      </w:r>
    </w:p>
    <w:p w14:paraId="2E2191C2">
      <w:pPr>
        <w:pStyle w:val="56"/>
        <w:ind w:firstLine="420"/>
      </w:pPr>
      <w:r>
        <w:rPr>
          <w:rFonts w:hint="eastAsia"/>
        </w:rPr>
        <w:t>本文件起草单位：中国林业科学研究院热带林业研究所、</w:t>
      </w:r>
      <w:r>
        <w:rPr>
          <w:rFonts w:hint="eastAsia"/>
          <w:iCs/>
        </w:rPr>
        <w:t>广东省德庆林场、湛江市林业科学研究所</w:t>
      </w:r>
      <w:r>
        <w:rPr>
          <w:rFonts w:hint="eastAsia"/>
        </w:rPr>
        <w:t>。</w:t>
      </w:r>
    </w:p>
    <w:p w14:paraId="304FDB36">
      <w:pPr>
        <w:pStyle w:val="56"/>
        <w:ind w:firstLine="420"/>
      </w:pPr>
      <w:r>
        <w:rPr>
          <w:rFonts w:hint="eastAsia"/>
        </w:rPr>
        <w:t>本文件主要起草人：黄桂华、周再知、王先棒、王锋、何汶椿、王凯、陈仁利、梁育兴、梁坤南、秦雅琪、王登宝、尹兴安、曾凯、张少杰、叶天一、邓万强、王伟波。</w:t>
      </w:r>
    </w:p>
    <w:p w14:paraId="5C0AFB8A">
      <w:pPr>
        <w:pStyle w:val="56"/>
        <w:ind w:firstLine="420"/>
      </w:pPr>
    </w:p>
    <w:p w14:paraId="7D2E1034">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3"/>
    <w:p w14:paraId="018A5A03">
      <w:pPr>
        <w:pStyle w:val="89"/>
        <w:spacing w:after="468"/>
      </w:pPr>
      <w:bookmarkStart w:id="24" w:name="_Toc231679530"/>
      <w:bookmarkStart w:id="25" w:name="BookMark3"/>
      <w:r>
        <w:rPr>
          <w:spacing w:val="320"/>
        </w:rPr>
        <w:t>引</w:t>
      </w:r>
      <w:r>
        <w:t>言</w:t>
      </w:r>
      <w:bookmarkEnd w:id="24"/>
    </w:p>
    <w:p w14:paraId="10EC0F97">
      <w:pPr>
        <w:pStyle w:val="56"/>
        <w:ind w:firstLine="420"/>
      </w:pPr>
      <w:r>
        <w:rPr>
          <w:rFonts w:hint="eastAsia"/>
        </w:rPr>
        <w:t>坡垒</w:t>
      </w:r>
      <w:r>
        <w:rPr>
          <w:rFonts w:ascii="Times New Roman"/>
        </w:rPr>
        <w:t>（</w:t>
      </w:r>
      <w:r>
        <w:rPr>
          <w:rFonts w:ascii="Times New Roman"/>
          <w:i/>
          <w:iCs/>
        </w:rPr>
        <w:t>Hopea hainanensis</w:t>
      </w:r>
      <w:r>
        <w:rPr>
          <w:rFonts w:ascii="Times New Roman"/>
        </w:rPr>
        <w:t>）为龙脑香科（Dipterocarpaceae）坡垒属（Hopea）常绿阔叶高大乔木，</w:t>
      </w:r>
      <w:r>
        <w:rPr>
          <w:rFonts w:hint="eastAsia" w:ascii="Times New Roman"/>
        </w:rPr>
        <w:t>国家一级重点保护野生植物</w:t>
      </w:r>
      <w:r>
        <w:rPr>
          <w:rFonts w:hint="eastAsia" w:ascii="Times New Roman"/>
          <w:lang w:eastAsia="zh-CN"/>
        </w:rPr>
        <w:t>，</w:t>
      </w:r>
      <w:r>
        <w:rPr>
          <w:rFonts w:ascii="Times New Roman"/>
        </w:rPr>
        <w:t>是我国特有珍贵用材树种。木材坚硬，用于特种工业、工艺，如枕木、机械器具、渔轮、码头、桥梁及高档家具、装饰和雕刻等。坡垒耐瘠薄，根系深，具较强的抗风性，无明显病虫害。幼龄期耐荫，适宜低效林混交、套种改造。坡垒枝叶茂盛，也是人们喜好的园林绿化树种。2021年坡垒被列入《广东省主要乡土树种名录》，2022年，被列入绿美广东生态建设造林树种名录。基于前期在</w:t>
      </w:r>
      <w:r>
        <w:rPr>
          <w:rFonts w:hint="eastAsia"/>
        </w:rPr>
        <w:t>高效培育技术方面取得的成果，特编制本文件，旨在为坡垒人工林高效培育、国储林建设和森林质量精准提升提供技术支撑。</w:t>
      </w:r>
    </w:p>
    <w:p w14:paraId="6FA03D78">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5"/>
    <w:p w14:paraId="69427BDC">
      <w:pPr>
        <w:spacing w:line="20" w:lineRule="exact"/>
        <w:jc w:val="center"/>
        <w:rPr>
          <w:rFonts w:ascii="黑体" w:hAnsi="黑体" w:eastAsia="黑体"/>
          <w:sz w:val="32"/>
          <w:szCs w:val="32"/>
        </w:rPr>
      </w:pPr>
      <w:bookmarkStart w:id="26" w:name="BookMark4"/>
    </w:p>
    <w:p w14:paraId="3271F3E1">
      <w:pPr>
        <w:spacing w:line="20" w:lineRule="exact"/>
        <w:jc w:val="center"/>
        <w:rPr>
          <w:rFonts w:ascii="黑体" w:hAnsi="黑体" w:eastAsia="黑体"/>
          <w:sz w:val="32"/>
          <w:szCs w:val="32"/>
        </w:rPr>
      </w:pPr>
    </w:p>
    <w:sdt>
      <w:sdtPr>
        <w:tag w:val="NEW_STAND_NAME"/>
        <w:id w:val="595910757"/>
        <w:lock w:val="sdtLocked"/>
        <w:placeholder>
          <w:docPart w:val="CC82169A5E244341BBCFCF71B8A1EEF1"/>
        </w:placeholder>
      </w:sdtPr>
      <w:sdtContent>
        <w:p w14:paraId="70ACC99F">
          <w:pPr>
            <w:pStyle w:val="177"/>
            <w:spacing w:before="3" w:beforeLines="1" w:after="686" w:afterLines="220"/>
          </w:pPr>
          <w:bookmarkStart w:id="27" w:name="NEW_STAND_NAME"/>
          <w:r>
            <w:rPr>
              <w:rFonts w:hint="eastAsia"/>
            </w:rPr>
            <w:t>坡垒培育技术规程</w:t>
          </w:r>
        </w:p>
      </w:sdtContent>
    </w:sdt>
    <w:bookmarkEnd w:id="27"/>
    <w:p w14:paraId="2FAD5DB2">
      <w:pPr>
        <w:pStyle w:val="104"/>
        <w:spacing w:before="312" w:after="312"/>
      </w:pPr>
      <w:bookmarkStart w:id="28" w:name="_Toc26986530"/>
      <w:bookmarkStart w:id="29" w:name="_Toc229325398"/>
      <w:bookmarkStart w:id="30" w:name="_Toc24884218"/>
      <w:bookmarkStart w:id="31" w:name="_Toc24884211"/>
      <w:bookmarkStart w:id="32" w:name="_Toc26648465"/>
      <w:bookmarkStart w:id="33" w:name="_Toc26718930"/>
      <w:bookmarkStart w:id="34" w:name="_Toc26986771"/>
      <w:bookmarkStart w:id="35" w:name="_Toc17233333"/>
      <w:bookmarkStart w:id="36" w:name="_Toc17233325"/>
      <w:bookmarkStart w:id="37" w:name="_Toc231679531"/>
      <w:bookmarkStart w:id="38" w:name="_Toc97191423"/>
      <w:r>
        <w:rPr>
          <w:rFonts w:hint="eastAsia"/>
        </w:rPr>
        <w:t>范围</w:t>
      </w:r>
      <w:bookmarkEnd w:id="28"/>
      <w:bookmarkEnd w:id="29"/>
      <w:bookmarkEnd w:id="30"/>
      <w:bookmarkEnd w:id="31"/>
      <w:bookmarkEnd w:id="32"/>
      <w:bookmarkEnd w:id="33"/>
      <w:bookmarkEnd w:id="34"/>
      <w:bookmarkEnd w:id="35"/>
      <w:bookmarkEnd w:id="36"/>
      <w:bookmarkEnd w:id="37"/>
      <w:bookmarkEnd w:id="38"/>
    </w:p>
    <w:p w14:paraId="3FA3CE60">
      <w:pPr>
        <w:pStyle w:val="56"/>
        <w:ind w:firstLine="420"/>
      </w:pPr>
      <w:bookmarkStart w:id="39" w:name="OLE_LINK9"/>
      <w:bookmarkStart w:id="40" w:name="OLE_LINK10"/>
      <w:bookmarkStart w:id="41" w:name="_Toc24884219"/>
      <w:bookmarkStart w:id="42" w:name="_Toc24884212"/>
      <w:bookmarkStart w:id="43" w:name="_Toc17233334"/>
      <w:bookmarkStart w:id="44" w:name="_Toc17233326"/>
      <w:bookmarkStart w:id="45" w:name="_Toc26648466"/>
      <w:r>
        <w:rPr>
          <w:rFonts w:hint="eastAsia"/>
        </w:rPr>
        <w:t>本文件规定了坡垒人工林培育的种子采集与处理、苗木培育、造林、抚育管理、采伐与更新、档案管理等技术要求。</w:t>
      </w:r>
    </w:p>
    <w:bookmarkEnd w:id="39"/>
    <w:bookmarkEnd w:id="40"/>
    <w:p w14:paraId="202F158F">
      <w:pPr>
        <w:pStyle w:val="56"/>
        <w:ind w:firstLine="420"/>
      </w:pPr>
      <w:r>
        <w:rPr>
          <w:rFonts w:hint="eastAsia"/>
        </w:rPr>
        <w:t>本文件适用于坡垒人工林的培育。</w:t>
      </w:r>
    </w:p>
    <w:p w14:paraId="0A61EC3A">
      <w:pPr>
        <w:pStyle w:val="104"/>
        <w:spacing w:before="312" w:after="312"/>
      </w:pPr>
      <w:bookmarkStart w:id="46" w:name="_Toc26986772"/>
      <w:bookmarkStart w:id="47" w:name="_Toc26986531"/>
      <w:bookmarkStart w:id="48" w:name="_Toc231679532"/>
      <w:bookmarkStart w:id="49" w:name="_Toc229325399"/>
      <w:bookmarkStart w:id="50" w:name="_Toc97191424"/>
      <w:bookmarkStart w:id="51" w:name="_Toc26718931"/>
      <w:r>
        <w:rPr>
          <w:rFonts w:hint="eastAsia"/>
        </w:rPr>
        <w:t>规范性引用文件</w:t>
      </w:r>
      <w:bookmarkEnd w:id="41"/>
      <w:bookmarkEnd w:id="42"/>
      <w:bookmarkEnd w:id="43"/>
      <w:bookmarkEnd w:id="44"/>
      <w:bookmarkEnd w:id="45"/>
      <w:bookmarkEnd w:id="46"/>
      <w:bookmarkEnd w:id="47"/>
      <w:bookmarkEnd w:id="48"/>
      <w:bookmarkEnd w:id="49"/>
      <w:bookmarkEnd w:id="50"/>
      <w:bookmarkEnd w:id="51"/>
    </w:p>
    <w:sdt>
      <w:sdtPr>
        <w:rPr>
          <w:rFonts w:hint="eastAsia"/>
        </w:rPr>
        <w:id w:val="715848253"/>
        <w:placeholder>
          <w:docPart w:val="C36458AF86934CA09C81E380E4A0409F"/>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2F5B6031">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4B66CF97">
      <w:pPr>
        <w:pStyle w:val="56"/>
        <w:ind w:firstLine="420"/>
        <w:rPr>
          <w:rFonts w:ascii="Times New Roman"/>
        </w:rPr>
      </w:pPr>
      <w:r>
        <w:rPr>
          <w:rFonts w:ascii="Times New Roman"/>
        </w:rPr>
        <w:t>GB/T 6001 育苗技术规程</w:t>
      </w:r>
    </w:p>
    <w:p w14:paraId="214991AA">
      <w:pPr>
        <w:pStyle w:val="56"/>
        <w:ind w:firstLine="420"/>
        <w:rPr>
          <w:rFonts w:ascii="Times New Roman"/>
        </w:rPr>
      </w:pPr>
      <w:r>
        <w:rPr>
          <w:rFonts w:hint="eastAsia" w:ascii="Times New Roman"/>
        </w:rPr>
        <w:t>GB/T 8321 农药合理使用准则</w:t>
      </w:r>
    </w:p>
    <w:p w14:paraId="291E2C22">
      <w:pPr>
        <w:pStyle w:val="56"/>
        <w:ind w:firstLine="420"/>
        <w:rPr>
          <w:rFonts w:ascii="Times New Roman"/>
          <w:bCs/>
        </w:rPr>
      </w:pPr>
      <w:r>
        <w:rPr>
          <w:rFonts w:ascii="Times New Roman"/>
          <w:bCs/>
        </w:rPr>
        <w:t>GB/T 15776 造林技术规程</w:t>
      </w:r>
    </w:p>
    <w:p w14:paraId="0A864FF8">
      <w:pPr>
        <w:pStyle w:val="56"/>
        <w:ind w:firstLine="420"/>
        <w:rPr>
          <w:rFonts w:ascii="Times New Roman"/>
          <w:bCs/>
        </w:rPr>
      </w:pPr>
      <w:r>
        <w:rPr>
          <w:rFonts w:ascii="Times New Roman"/>
          <w:bCs/>
        </w:rPr>
        <w:t>GB/T 15781 森林抚育规程</w:t>
      </w:r>
    </w:p>
    <w:p w14:paraId="1B44CB98">
      <w:pPr>
        <w:pStyle w:val="56"/>
        <w:ind w:firstLine="420"/>
        <w:rPr>
          <w:rFonts w:ascii="Times New Roman"/>
        </w:rPr>
      </w:pPr>
      <w:r>
        <w:rPr>
          <w:rFonts w:ascii="Times New Roman"/>
        </w:rPr>
        <w:t>GB/T 16619 林木采种技术</w:t>
      </w:r>
    </w:p>
    <w:p w14:paraId="323C3F4F">
      <w:pPr>
        <w:pStyle w:val="230"/>
        <w:rPr>
          <w:rFonts w:hAnsi="宋体"/>
        </w:rPr>
      </w:pPr>
      <w:r>
        <w:rPr>
          <w:rFonts w:hint="eastAsia" w:ascii="Times New Roman"/>
        </w:rPr>
        <w:t xml:space="preserve">GB/T 45088 </w:t>
      </w:r>
      <w:r>
        <w:rPr>
          <w:rFonts w:hint="eastAsia" w:hAnsi="宋体"/>
        </w:rPr>
        <w:t>林木采伐技术规程</w:t>
      </w:r>
    </w:p>
    <w:p w14:paraId="26B2DAFB">
      <w:pPr>
        <w:pStyle w:val="230"/>
        <w:rPr>
          <w:rFonts w:hAnsi="宋体"/>
        </w:rPr>
      </w:pPr>
      <w:r>
        <w:rPr>
          <w:rFonts w:ascii="Times New Roman"/>
        </w:rPr>
        <w:t>LY/T 2290</w:t>
      </w:r>
      <w:r>
        <w:rPr>
          <w:rFonts w:hint="eastAsia" w:ascii="Times New Roman"/>
        </w:rPr>
        <w:t xml:space="preserve"> 林草种苗包装运输与标识标签规范</w:t>
      </w:r>
    </w:p>
    <w:p w14:paraId="4ADFD666">
      <w:pPr>
        <w:pStyle w:val="104"/>
        <w:spacing w:before="312" w:after="312"/>
      </w:pPr>
      <w:bookmarkStart w:id="52" w:name="_Toc97191425"/>
      <w:bookmarkStart w:id="53" w:name="_Toc229325400"/>
      <w:bookmarkStart w:id="54" w:name="_Toc231679533"/>
      <w:r>
        <w:rPr>
          <w:rFonts w:hint="eastAsia"/>
          <w:szCs w:val="21"/>
        </w:rPr>
        <w:t>术语和定义</w:t>
      </w:r>
      <w:bookmarkEnd w:id="52"/>
      <w:bookmarkEnd w:id="53"/>
      <w:bookmarkEnd w:id="54"/>
    </w:p>
    <w:sdt>
      <w:sdtPr>
        <w:id w:val="-1909835108"/>
        <w:placeholder>
          <w:docPart w:val="92AC425573B449EEA6A6EA02BC6D982F"/>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3207E8C7">
          <w:pPr>
            <w:pStyle w:val="56"/>
            <w:ind w:firstLine="420"/>
          </w:pPr>
          <w:bookmarkStart w:id="55" w:name="_Toc26986532"/>
          <w:bookmarkEnd w:id="55"/>
          <w:r>
            <w:t>下列术语和定义适用于本文件。</w:t>
          </w:r>
        </w:p>
      </w:sdtContent>
    </w:sdt>
    <w:p w14:paraId="09D74C84">
      <w:pPr>
        <w:pStyle w:val="232"/>
      </w:pPr>
      <w:r>
        <w:rPr>
          <w:rFonts w:hint="eastAsia"/>
        </w:rPr>
        <w:t>3.1</w:t>
      </w:r>
    </w:p>
    <w:p w14:paraId="04707E8A">
      <w:pPr>
        <w:pStyle w:val="232"/>
        <w:ind w:firstLine="424" w:firstLineChars="202"/>
      </w:pPr>
      <w:r>
        <w:rPr>
          <w:rFonts w:hint="eastAsia"/>
        </w:rPr>
        <w:t>种翅</w:t>
      </w:r>
      <w:r>
        <w:t xml:space="preserve"> </w:t>
      </w:r>
      <w:r>
        <w:rPr>
          <w:rFonts w:ascii="Times New Roman"/>
          <w:b/>
        </w:rPr>
        <w:t>seed wing</w:t>
      </w:r>
    </w:p>
    <w:p w14:paraId="176BB38D">
      <w:pPr>
        <w:pStyle w:val="230"/>
      </w:pPr>
      <w:bookmarkStart w:id="56" w:name="OLE_LINK124"/>
      <w:r>
        <w:rPr>
          <w:rFonts w:ascii="Times New Roman"/>
        </w:rPr>
        <w:t>5枚</w:t>
      </w:r>
      <w:r>
        <w:rPr>
          <w:rFonts w:hint="eastAsia"/>
        </w:rPr>
        <w:t>花</w:t>
      </w:r>
      <w:r>
        <w:t>萼</w:t>
      </w:r>
      <w:r>
        <w:rPr>
          <w:rFonts w:hint="eastAsia"/>
        </w:rPr>
        <w:t>中</w:t>
      </w:r>
      <w:r>
        <w:rPr>
          <w:rFonts w:ascii="Times New Roman"/>
        </w:rPr>
        <w:t>2</w:t>
      </w:r>
      <w:r>
        <w:rPr>
          <w:rFonts w:hint="eastAsia" w:ascii="Times New Roman"/>
        </w:rPr>
        <w:t>枚增大呈</w:t>
      </w:r>
      <w:r>
        <w:rPr>
          <w:rFonts w:ascii="Times New Roman"/>
        </w:rPr>
        <w:t>倒披针形</w:t>
      </w:r>
      <w:r>
        <w:rPr>
          <w:rFonts w:hint="eastAsia" w:ascii="Times New Roman"/>
        </w:rPr>
        <w:t>的</w:t>
      </w:r>
      <w:r>
        <w:t>萼</w:t>
      </w:r>
      <w:r>
        <w:rPr>
          <w:rFonts w:hint="eastAsia"/>
        </w:rPr>
        <w:t>裂片。</w:t>
      </w:r>
    </w:p>
    <w:bookmarkEnd w:id="26"/>
    <w:bookmarkEnd w:id="56"/>
    <w:p w14:paraId="1F238BF3">
      <w:pPr>
        <w:numPr>
          <w:ilvl w:val="1"/>
          <w:numId w:val="2"/>
        </w:numPr>
        <w:spacing w:before="312" w:beforeLines="100" w:after="312" w:afterLines="100"/>
        <w:outlineLvl w:val="0"/>
        <w:rPr>
          <w:rFonts w:ascii="黑体" w:hAnsi="Times New Roman" w:eastAsia="黑体"/>
        </w:rPr>
      </w:pPr>
      <w:bookmarkStart w:id="57" w:name="_Toc240535945"/>
      <w:bookmarkStart w:id="58" w:name="_Toc229325402"/>
      <w:r>
        <w:rPr>
          <w:rFonts w:hint="eastAsia" w:ascii="黑体" w:hAnsi="Times New Roman" w:eastAsia="黑体"/>
        </w:rPr>
        <w:t>种子采集与处理</w:t>
      </w:r>
      <w:bookmarkEnd w:id="57"/>
      <w:bookmarkEnd w:id="58"/>
    </w:p>
    <w:p w14:paraId="49A996E7">
      <w:pPr>
        <w:numPr>
          <w:ilvl w:val="2"/>
          <w:numId w:val="2"/>
        </w:numPr>
        <w:spacing w:before="156" w:beforeLines="50" w:after="156" w:afterLines="50"/>
        <w:outlineLvl w:val="1"/>
        <w:rPr>
          <w:rFonts w:ascii="黑体" w:hAnsi="Times New Roman" w:eastAsia="黑体"/>
        </w:rPr>
      </w:pPr>
      <w:bookmarkStart w:id="59" w:name="_Toc229325403"/>
      <w:bookmarkStart w:id="60" w:name="OLE_LINK152"/>
      <w:bookmarkStart w:id="61" w:name="OLE_LINK151"/>
      <w:r>
        <w:rPr>
          <w:rFonts w:ascii="黑体" w:hAnsi="Times New Roman" w:eastAsia="黑体"/>
        </w:rPr>
        <w:t>种子</w:t>
      </w:r>
      <w:r>
        <w:rPr>
          <w:rFonts w:hint="eastAsia" w:ascii="黑体" w:hAnsi="Times New Roman" w:eastAsia="黑体"/>
        </w:rPr>
        <w:t>采集</w:t>
      </w:r>
      <w:bookmarkEnd w:id="59"/>
    </w:p>
    <w:p w14:paraId="4ABD88B4">
      <w:pPr>
        <w:widowControl/>
        <w:autoSpaceDE w:val="0"/>
        <w:autoSpaceDN w:val="0"/>
        <w:ind w:firstLine="420" w:firstLineChars="200"/>
        <w:rPr>
          <w:rFonts w:ascii="Times New Roman" w:hAnsi="Times New Roman"/>
          <w:kern w:val="0"/>
          <w:szCs w:val="20"/>
        </w:rPr>
      </w:pPr>
      <w:r>
        <w:rPr>
          <w:rFonts w:hint="eastAsia" w:ascii="Times New Roman" w:hAnsi="Times New Roman"/>
          <w:kern w:val="0"/>
          <w:szCs w:val="20"/>
        </w:rPr>
        <w:t>选择20 a生以上母树林、优良种源或林分中长势旺盛、树干通直、树冠圆满、无明显病虫害的母株。于3月～4月，种翅呈赭红色时采集</w:t>
      </w:r>
      <w:r>
        <w:rPr>
          <w:rFonts w:hint="eastAsia" w:ascii="Times New Roman" w:hAnsi="Times New Roman"/>
          <w:kern w:val="0"/>
          <w:szCs w:val="20"/>
          <w:lang w:val="en-US" w:eastAsia="zh-CN"/>
        </w:rPr>
        <w:t>带翅种子</w:t>
      </w:r>
      <w:r>
        <w:rPr>
          <w:rFonts w:hint="eastAsia" w:ascii="Times New Roman" w:hAnsi="Times New Roman"/>
          <w:kern w:val="0"/>
          <w:szCs w:val="20"/>
        </w:rPr>
        <w:t>。采集方法按照GB/T 16619规定执行。</w:t>
      </w:r>
    </w:p>
    <w:bookmarkEnd w:id="60"/>
    <w:bookmarkEnd w:id="61"/>
    <w:p w14:paraId="27EEF395">
      <w:pPr>
        <w:numPr>
          <w:ilvl w:val="2"/>
          <w:numId w:val="2"/>
        </w:numPr>
        <w:spacing w:before="156" w:beforeLines="50" w:after="156" w:afterLines="50"/>
        <w:outlineLvl w:val="1"/>
        <w:rPr>
          <w:rFonts w:ascii="黑体" w:hAnsi="Times New Roman" w:eastAsia="黑体"/>
        </w:rPr>
      </w:pPr>
      <w:bookmarkStart w:id="62" w:name="_Toc229325404"/>
      <w:bookmarkStart w:id="63" w:name="_Toc63146673"/>
      <w:bookmarkStart w:id="64" w:name="_Toc63146614"/>
      <w:bookmarkStart w:id="65" w:name="OLE_LINK157"/>
      <w:bookmarkStart w:id="66" w:name="OLE_LINK158"/>
      <w:r>
        <w:rPr>
          <w:rFonts w:hint="eastAsia" w:ascii="黑体" w:hAnsi="Times New Roman" w:eastAsia="黑体"/>
        </w:rPr>
        <w:t>种</w:t>
      </w:r>
      <w:r>
        <w:rPr>
          <w:rFonts w:ascii="黑体" w:hAnsi="Times New Roman" w:eastAsia="黑体"/>
        </w:rPr>
        <w:t>子</w:t>
      </w:r>
      <w:bookmarkEnd w:id="62"/>
      <w:bookmarkEnd w:id="63"/>
      <w:bookmarkEnd w:id="64"/>
      <w:r>
        <w:rPr>
          <w:rFonts w:hint="eastAsia" w:ascii="黑体" w:hAnsi="Times New Roman" w:eastAsia="黑体"/>
        </w:rPr>
        <w:t>调制</w:t>
      </w:r>
    </w:p>
    <w:p w14:paraId="4D6D2C7C">
      <w:pPr>
        <w:widowControl/>
        <w:autoSpaceDE w:val="0"/>
        <w:autoSpaceDN w:val="0"/>
        <w:ind w:firstLine="420" w:firstLineChars="200"/>
        <w:rPr>
          <w:rFonts w:ascii="宋体" w:hAnsi="Times New Roman"/>
          <w:color w:val="000000"/>
          <w:kern w:val="0"/>
          <w:szCs w:val="20"/>
        </w:rPr>
      </w:pPr>
      <w:r>
        <w:rPr>
          <w:rFonts w:hint="eastAsia" w:ascii="宋体" w:hAnsi="Times New Roman"/>
          <w:color w:val="000000"/>
          <w:kern w:val="0"/>
          <w:szCs w:val="20"/>
        </w:rPr>
        <w:t>采集后去除种翅，</w:t>
      </w:r>
      <w:r>
        <w:rPr>
          <w:rFonts w:hint="eastAsia" w:ascii="宋体" w:hAnsi="Times New Roman"/>
          <w:color w:val="000000"/>
          <w:kern w:val="0"/>
          <w:szCs w:val="20"/>
          <w:lang w:val="en-US" w:eastAsia="zh-CN"/>
        </w:rPr>
        <w:t>保留种子，</w:t>
      </w:r>
      <w:r>
        <w:rPr>
          <w:rFonts w:hint="eastAsia" w:ascii="宋体" w:hAnsi="Times New Roman"/>
          <w:color w:val="000000"/>
          <w:kern w:val="0"/>
          <w:szCs w:val="20"/>
        </w:rPr>
        <w:t>阴干。</w:t>
      </w:r>
    </w:p>
    <w:bookmarkEnd w:id="65"/>
    <w:bookmarkEnd w:id="66"/>
    <w:p w14:paraId="051ECEFA">
      <w:pPr>
        <w:numPr>
          <w:ilvl w:val="1"/>
          <w:numId w:val="2"/>
        </w:numPr>
        <w:spacing w:before="312" w:beforeLines="100" w:after="312" w:afterLines="100"/>
        <w:outlineLvl w:val="0"/>
        <w:rPr>
          <w:rFonts w:ascii="黑体" w:hAnsi="Times New Roman" w:eastAsia="黑体"/>
        </w:rPr>
      </w:pPr>
      <w:bookmarkStart w:id="67" w:name="_Toc240535946"/>
      <w:bookmarkStart w:id="68" w:name="_Toc229325406"/>
      <w:bookmarkStart w:id="69" w:name="_Toc63146675"/>
      <w:bookmarkStart w:id="70" w:name="_Toc63146618"/>
      <w:r>
        <w:rPr>
          <w:rFonts w:ascii="黑体" w:hAnsi="Times New Roman" w:eastAsia="黑体"/>
        </w:rPr>
        <w:t>苗木培育</w:t>
      </w:r>
      <w:bookmarkEnd w:id="67"/>
      <w:bookmarkEnd w:id="68"/>
    </w:p>
    <w:p w14:paraId="21D7EE4B">
      <w:pPr>
        <w:numPr>
          <w:ilvl w:val="2"/>
          <w:numId w:val="2"/>
        </w:numPr>
        <w:spacing w:before="156" w:beforeLines="50" w:after="156" w:afterLines="50"/>
        <w:outlineLvl w:val="1"/>
        <w:rPr>
          <w:rFonts w:ascii="黑体" w:hAnsi="Times New Roman" w:eastAsia="黑体"/>
        </w:rPr>
      </w:pPr>
      <w:bookmarkStart w:id="71" w:name="_Toc229325407"/>
      <w:r>
        <w:rPr>
          <w:rFonts w:hint="eastAsia" w:ascii="黑体" w:hAnsi="Times New Roman" w:eastAsia="黑体"/>
        </w:rPr>
        <w:t>圃地选择</w:t>
      </w:r>
      <w:bookmarkEnd w:id="69"/>
      <w:bookmarkEnd w:id="70"/>
      <w:bookmarkEnd w:id="71"/>
    </w:p>
    <w:p w14:paraId="106494C6">
      <w:pPr>
        <w:widowControl/>
        <w:autoSpaceDE w:val="0"/>
        <w:autoSpaceDN w:val="0"/>
        <w:ind w:firstLine="420" w:firstLineChars="200"/>
        <w:rPr>
          <w:rFonts w:ascii="Times New Roman" w:hAnsi="Times New Roman"/>
          <w:bCs/>
          <w:color w:val="000000"/>
          <w:kern w:val="0"/>
          <w:szCs w:val="20"/>
        </w:rPr>
      </w:pPr>
      <w:r>
        <w:rPr>
          <w:rFonts w:hint="eastAsia" w:ascii="Times New Roman" w:hAnsi="Times New Roman"/>
          <w:bCs/>
          <w:color w:val="000000"/>
          <w:kern w:val="0"/>
          <w:szCs w:val="20"/>
        </w:rPr>
        <w:t>选择交通便利，地势平缓，土壤疏松肥沃，排水良好的地块。</w:t>
      </w:r>
    </w:p>
    <w:p w14:paraId="678D02C4">
      <w:pPr>
        <w:numPr>
          <w:ilvl w:val="2"/>
          <w:numId w:val="2"/>
        </w:numPr>
        <w:spacing w:before="156" w:beforeLines="50" w:after="156" w:afterLines="50"/>
        <w:outlineLvl w:val="1"/>
        <w:rPr>
          <w:rFonts w:ascii="黑体" w:hAnsi="Times New Roman" w:eastAsia="黑体"/>
        </w:rPr>
      </w:pPr>
      <w:bookmarkStart w:id="72" w:name="_Toc229325408"/>
      <w:r>
        <w:rPr>
          <w:rFonts w:hint="eastAsia" w:ascii="黑体" w:hAnsi="Times New Roman" w:eastAsia="黑体"/>
        </w:rPr>
        <w:t>整地作床</w:t>
      </w:r>
      <w:bookmarkEnd w:id="72"/>
    </w:p>
    <w:p w14:paraId="2624116E">
      <w:pPr>
        <w:autoSpaceDE w:val="0"/>
        <w:autoSpaceDN w:val="0"/>
        <w:ind w:firstLine="420" w:firstLineChars="200"/>
        <w:rPr>
          <w:rFonts w:ascii="Times New Roman" w:hAnsi="Times New Roman"/>
        </w:rPr>
      </w:pPr>
      <w:r>
        <w:rPr>
          <w:rFonts w:ascii="Times New Roman" w:hAnsi="Times New Roman"/>
        </w:rPr>
        <w:t>平整地面，宜按高10 cm～15 cm、宽100 cm～110 cm做播种床</w:t>
      </w:r>
      <w:r>
        <w:rPr>
          <w:rFonts w:hint="eastAsia" w:ascii="Times New Roman" w:hAnsi="Times New Roman"/>
        </w:rPr>
        <w:t>，</w:t>
      </w:r>
      <w:r>
        <w:rPr>
          <w:rFonts w:ascii="Times New Roman" w:hAnsi="Times New Roman"/>
        </w:rPr>
        <w:t>床间设宽30 cm～40 cm的步道。</w:t>
      </w:r>
      <w:r>
        <w:rPr>
          <w:rFonts w:hint="eastAsia" w:ascii="Times New Roman" w:hAnsi="Times New Roman"/>
          <w:color w:val="000000"/>
        </w:rPr>
        <w:t>将</w:t>
      </w:r>
      <w:r>
        <w:rPr>
          <w:rFonts w:hint="eastAsia" w:ascii="Times New Roman" w:hAnsi="Times New Roman"/>
        </w:rPr>
        <w:t>干净的细沙平铺于床面上，厚8 cm～10 cm。</w:t>
      </w:r>
    </w:p>
    <w:p w14:paraId="3A1111FC">
      <w:pPr>
        <w:numPr>
          <w:ilvl w:val="2"/>
          <w:numId w:val="2"/>
        </w:numPr>
        <w:spacing w:before="156" w:beforeLines="50" w:after="156" w:afterLines="50"/>
        <w:outlineLvl w:val="1"/>
        <w:rPr>
          <w:rFonts w:ascii="黑体" w:hAnsi="Times New Roman" w:eastAsia="黑体"/>
        </w:rPr>
      </w:pPr>
      <w:r>
        <w:rPr>
          <w:rFonts w:hint="eastAsia" w:ascii="黑体" w:hAnsi="Times New Roman" w:eastAsia="黑体"/>
        </w:rPr>
        <w:t>苗床消毒</w:t>
      </w:r>
    </w:p>
    <w:p w14:paraId="3B31FC76">
      <w:pPr>
        <w:autoSpaceDE w:val="0"/>
        <w:autoSpaceDN w:val="0"/>
        <w:ind w:firstLine="420" w:firstLineChars="200"/>
        <w:rPr>
          <w:rFonts w:ascii="宋体" w:hAnsi="Times New Roman"/>
        </w:rPr>
      </w:pPr>
      <w:bookmarkStart w:id="73" w:name="OLE_LINK187"/>
      <w:bookmarkStart w:id="74" w:name="OLE_LINK186"/>
      <w:r>
        <w:rPr>
          <w:rFonts w:hint="eastAsia" w:ascii="宋体" w:hAnsi="Times New Roman"/>
        </w:rPr>
        <w:t>用0.1%～0.3%的高锰酸钾溶液淋透苗床消毒。</w:t>
      </w:r>
    </w:p>
    <w:bookmarkEnd w:id="73"/>
    <w:bookmarkEnd w:id="74"/>
    <w:p w14:paraId="62ABD2C5">
      <w:pPr>
        <w:numPr>
          <w:ilvl w:val="2"/>
          <w:numId w:val="2"/>
        </w:numPr>
        <w:spacing w:before="156" w:beforeLines="50" w:after="156" w:afterLines="50"/>
        <w:outlineLvl w:val="1"/>
        <w:rPr>
          <w:rFonts w:ascii="黑体" w:hAnsi="Times New Roman" w:eastAsia="黑体"/>
        </w:rPr>
      </w:pPr>
      <w:bookmarkStart w:id="75" w:name="_Toc63146620"/>
      <w:bookmarkStart w:id="76" w:name="_Toc229325409"/>
      <w:r>
        <w:rPr>
          <w:rFonts w:hint="eastAsia" w:ascii="黑体" w:hAnsi="Times New Roman" w:eastAsia="黑体"/>
        </w:rPr>
        <w:t>播种</w:t>
      </w:r>
      <w:bookmarkEnd w:id="75"/>
      <w:bookmarkEnd w:id="76"/>
    </w:p>
    <w:p w14:paraId="0AFFB672">
      <w:pPr>
        <w:autoSpaceDE w:val="0"/>
        <w:autoSpaceDN w:val="0"/>
        <w:ind w:firstLine="420" w:firstLineChars="200"/>
        <w:rPr>
          <w:rFonts w:ascii="Times New Roman" w:hAnsi="Times New Roman"/>
        </w:rPr>
      </w:pPr>
      <w:r>
        <w:rPr>
          <w:rFonts w:ascii="Times New Roman" w:hAnsi="Times New Roman"/>
        </w:rPr>
        <w:t>3月～4月随采随播。</w:t>
      </w:r>
      <w:r>
        <w:rPr>
          <w:rFonts w:hint="eastAsia" w:ascii="Times New Roman" w:hAnsi="Times New Roman"/>
        </w:rPr>
        <w:t>用清水浸</w:t>
      </w:r>
      <w:r>
        <w:rPr>
          <w:rFonts w:ascii="Times New Roman" w:hAnsi="Times New Roman"/>
        </w:rPr>
        <w:t>种</w:t>
      </w:r>
      <w:r>
        <w:rPr>
          <w:rFonts w:hint="eastAsia" w:ascii="Times New Roman" w:hAnsi="Times New Roman"/>
        </w:rPr>
        <w:t>0.5 h～1.0 h后捞出，均匀</w:t>
      </w:r>
      <w:r>
        <w:rPr>
          <w:rFonts w:ascii="Times New Roman" w:hAnsi="Times New Roman"/>
        </w:rPr>
        <w:t>撒播于</w:t>
      </w:r>
      <w:r>
        <w:rPr>
          <w:rFonts w:hint="eastAsia" w:ascii="Times New Roman" w:hAnsi="Times New Roman"/>
        </w:rPr>
        <w:t>苗床</w:t>
      </w:r>
      <w:r>
        <w:rPr>
          <w:rFonts w:ascii="Times New Roman" w:hAnsi="Times New Roman"/>
        </w:rPr>
        <w:t>上，</w:t>
      </w:r>
      <w:bookmarkStart w:id="77" w:name="OLE_LINK34"/>
      <w:bookmarkStart w:id="78" w:name="OLE_LINK33"/>
      <w:r>
        <w:rPr>
          <w:rFonts w:ascii="Times New Roman" w:hAnsi="Times New Roman"/>
        </w:rPr>
        <w:t>轻压入沙</w:t>
      </w:r>
      <w:r>
        <w:rPr>
          <w:rFonts w:hint="eastAsia" w:ascii="Times New Roman" w:hAnsi="Times New Roman"/>
        </w:rPr>
        <w:t>内</w:t>
      </w:r>
      <w:r>
        <w:rPr>
          <w:rFonts w:ascii="Times New Roman" w:hAnsi="Times New Roman"/>
        </w:rPr>
        <w:t>，</w:t>
      </w:r>
      <w:bookmarkStart w:id="79" w:name="OLE_LINK116"/>
      <w:bookmarkStart w:id="80" w:name="OLE_LINK117"/>
      <w:r>
        <w:rPr>
          <w:rFonts w:hint="eastAsia" w:ascii="Times New Roman" w:hAnsi="Times New Roman"/>
        </w:rPr>
        <w:t>覆沙以</w:t>
      </w:r>
      <w:r>
        <w:rPr>
          <w:rFonts w:ascii="Times New Roman" w:hAnsi="Times New Roman"/>
        </w:rPr>
        <w:t>略见种子</w:t>
      </w:r>
      <w:r>
        <w:rPr>
          <w:rFonts w:hint="eastAsia" w:ascii="Times New Roman" w:hAnsi="Times New Roman"/>
        </w:rPr>
        <w:t>为度</w:t>
      </w:r>
      <w:bookmarkEnd w:id="77"/>
      <w:bookmarkEnd w:id="78"/>
      <w:bookmarkEnd w:id="79"/>
      <w:bookmarkEnd w:id="80"/>
      <w:r>
        <w:rPr>
          <w:rFonts w:hint="eastAsia" w:ascii="Times New Roman" w:hAnsi="Times New Roman"/>
        </w:rPr>
        <w:t>。播种</w:t>
      </w:r>
      <w:r>
        <w:rPr>
          <w:rFonts w:ascii="Times New Roman" w:hAnsi="Times New Roman"/>
        </w:rPr>
        <w:t>密度为600 粒/㎡～700 粒/㎡。</w:t>
      </w:r>
      <w:bookmarkStart w:id="81" w:name="_Toc50365862"/>
      <w:bookmarkStart w:id="82" w:name="_Toc40695244"/>
      <w:bookmarkStart w:id="83" w:name="_Toc63146623"/>
      <w:bookmarkStart w:id="84" w:name="_Toc63146677"/>
      <w:bookmarkStart w:id="85" w:name="_Toc33536629"/>
      <w:r>
        <w:rPr>
          <w:rFonts w:hint="eastAsia" w:ascii="Times New Roman" w:hAnsi="Times New Roman"/>
        </w:rPr>
        <w:t>淋透水，遮荫度宜为70%～90%，</w:t>
      </w:r>
      <w:r>
        <w:rPr>
          <w:rFonts w:ascii="Times New Roman" w:hAnsi="Times New Roman"/>
        </w:rPr>
        <w:t>保持苗床湿润。</w:t>
      </w:r>
    </w:p>
    <w:bookmarkEnd w:id="81"/>
    <w:bookmarkEnd w:id="82"/>
    <w:bookmarkEnd w:id="83"/>
    <w:bookmarkEnd w:id="84"/>
    <w:bookmarkEnd w:id="85"/>
    <w:p w14:paraId="01559435">
      <w:pPr>
        <w:numPr>
          <w:ilvl w:val="2"/>
          <w:numId w:val="2"/>
        </w:numPr>
        <w:spacing w:before="156" w:beforeLines="50" w:after="156" w:afterLines="50"/>
        <w:outlineLvl w:val="1"/>
        <w:rPr>
          <w:rFonts w:ascii="黑体" w:hAnsi="Times New Roman" w:eastAsia="黑体"/>
        </w:rPr>
      </w:pPr>
      <w:bookmarkStart w:id="86" w:name="_Toc229325412"/>
      <w:bookmarkStart w:id="87" w:name="_Toc63146624"/>
      <w:bookmarkStart w:id="88" w:name="_Toc47338510"/>
      <w:bookmarkStart w:id="89" w:name="_Toc40695245"/>
      <w:bookmarkStart w:id="90" w:name="_Toc50365863"/>
      <w:r>
        <w:rPr>
          <w:rFonts w:hint="eastAsia" w:ascii="黑体" w:hAnsi="Times New Roman" w:eastAsia="黑体"/>
        </w:rPr>
        <w:t>容器苗培育</w:t>
      </w:r>
      <w:bookmarkEnd w:id="86"/>
    </w:p>
    <w:p w14:paraId="2E1B4261">
      <w:pPr>
        <w:numPr>
          <w:ilvl w:val="3"/>
          <w:numId w:val="2"/>
        </w:numPr>
        <w:spacing w:before="156" w:beforeLines="50" w:after="156" w:afterLines="50"/>
        <w:outlineLvl w:val="2"/>
        <w:rPr>
          <w:rFonts w:ascii="黑体" w:hAnsi="Times New Roman" w:eastAsia="黑体"/>
        </w:rPr>
      </w:pPr>
      <w:r>
        <w:rPr>
          <w:rFonts w:hint="eastAsia" w:ascii="黑体" w:hAnsi="Times New Roman" w:eastAsia="黑体"/>
        </w:rPr>
        <w:t>容器</w:t>
      </w:r>
    </w:p>
    <w:p w14:paraId="1208A231">
      <w:pPr>
        <w:autoSpaceDE w:val="0"/>
        <w:autoSpaceDN w:val="0"/>
        <w:ind w:firstLine="420" w:firstLineChars="200"/>
        <w:rPr>
          <w:rFonts w:ascii="宋体" w:hAnsi="Times New Roman"/>
        </w:rPr>
      </w:pPr>
      <w:r>
        <w:rPr>
          <w:rFonts w:hint="eastAsia" w:ascii="Times New Roman" w:hAnsi="Times New Roman"/>
          <w:color w:val="000000"/>
        </w:rPr>
        <w:t>宜采用无纺布等可降解材料制成的直径8 cm～12 cm、高12 cm～15 cm的容器。</w:t>
      </w:r>
    </w:p>
    <w:p w14:paraId="20E8DC18">
      <w:pPr>
        <w:numPr>
          <w:ilvl w:val="3"/>
          <w:numId w:val="2"/>
        </w:numPr>
        <w:spacing w:before="156" w:beforeLines="50" w:after="156" w:afterLines="50"/>
        <w:outlineLvl w:val="2"/>
        <w:rPr>
          <w:rFonts w:ascii="黑体" w:hAnsi="Times New Roman" w:eastAsia="黑体"/>
        </w:rPr>
      </w:pPr>
      <w:r>
        <w:rPr>
          <w:rFonts w:hint="eastAsia" w:ascii="黑体" w:hAnsi="Times New Roman" w:eastAsia="黑体"/>
        </w:rPr>
        <w:t>基质</w:t>
      </w:r>
    </w:p>
    <w:p w14:paraId="6E8EF2A5">
      <w:pPr>
        <w:autoSpaceDE w:val="0"/>
        <w:autoSpaceDN w:val="0"/>
        <w:ind w:firstLine="420" w:firstLineChars="200"/>
        <w:rPr>
          <w:rFonts w:ascii="宋体" w:hAnsi="Times New Roman"/>
        </w:rPr>
      </w:pPr>
      <w:r>
        <w:rPr>
          <w:rFonts w:hint="eastAsia" w:ascii="宋体" w:hAnsi="Times New Roman"/>
        </w:rPr>
        <w:t>以黄心土为基质，或黄心</w:t>
      </w:r>
      <w:r>
        <w:rPr>
          <w:rFonts w:ascii="Times New Roman" w:hAnsi="Times New Roman"/>
        </w:rPr>
        <w:t>土加30%～50%的</w:t>
      </w:r>
      <w:r>
        <w:rPr>
          <w:rFonts w:hint="eastAsia" w:ascii="宋体" w:hAnsi="Times New Roman"/>
        </w:rPr>
        <w:t>泥炭土或蛭石等轻基质材料配制而成。</w:t>
      </w:r>
    </w:p>
    <w:p w14:paraId="098C2A35">
      <w:pPr>
        <w:numPr>
          <w:ilvl w:val="3"/>
          <w:numId w:val="2"/>
        </w:numPr>
        <w:spacing w:before="156" w:beforeLines="50" w:after="156" w:afterLines="50"/>
        <w:outlineLvl w:val="2"/>
        <w:rPr>
          <w:rFonts w:ascii="黑体" w:hAnsi="Times New Roman" w:eastAsia="黑体"/>
        </w:rPr>
      </w:pPr>
      <w:r>
        <w:rPr>
          <w:rFonts w:hint="eastAsia" w:ascii="黑体" w:hAnsi="Times New Roman" w:eastAsia="黑体"/>
        </w:rPr>
        <w:t>移苗上袋</w:t>
      </w:r>
    </w:p>
    <w:p w14:paraId="2875D205">
      <w:pPr>
        <w:autoSpaceDE w:val="0"/>
        <w:autoSpaceDN w:val="0"/>
        <w:ind w:firstLine="420" w:firstLineChars="200"/>
        <w:rPr>
          <w:rFonts w:ascii="宋体" w:hAnsi="Times New Roman"/>
        </w:rPr>
      </w:pPr>
      <w:r>
        <w:rPr>
          <w:rFonts w:hint="eastAsia" w:ascii="宋体" w:hAnsi="Times New Roman"/>
        </w:rPr>
        <w:t>移苗作业宜在晴天早、晚或阴天进行。</w:t>
      </w:r>
      <w:r>
        <w:rPr>
          <w:rFonts w:hint="eastAsia" w:ascii="Times New Roman" w:hAnsi="Times New Roman"/>
          <w:color w:val="000000"/>
          <w:lang w:val="zh-CN"/>
        </w:rPr>
        <w:t>待</w:t>
      </w:r>
      <w:r>
        <w:rPr>
          <w:rFonts w:hint="eastAsia" w:ascii="宋体" w:hAnsi="Times New Roman"/>
        </w:rPr>
        <w:t>芽苗</w:t>
      </w:r>
      <w:r>
        <w:rPr>
          <w:rFonts w:ascii="Times New Roman" w:hAnsi="Times New Roman"/>
        </w:rPr>
        <w:t>长出1对～2对真叶、</w:t>
      </w:r>
      <w:r>
        <w:rPr>
          <w:rFonts w:hint="eastAsia" w:ascii="宋体" w:hAnsi="Times New Roman"/>
        </w:rPr>
        <w:t>高</w:t>
      </w:r>
      <w:r>
        <w:rPr>
          <w:rFonts w:ascii="Times New Roman" w:hAnsi="Times New Roman"/>
        </w:rPr>
        <w:t>度</w:t>
      </w:r>
      <w:r>
        <w:rPr>
          <w:rFonts w:hint="eastAsia" w:ascii="Times New Roman" w:hAnsi="Times New Roman"/>
        </w:rPr>
        <w:t>8</w:t>
      </w:r>
      <w:r>
        <w:rPr>
          <w:rFonts w:ascii="Times New Roman" w:hAnsi="Times New Roman"/>
        </w:rPr>
        <w:t xml:space="preserve"> cm～</w:t>
      </w:r>
      <w:r>
        <w:rPr>
          <w:rFonts w:hint="eastAsia" w:ascii="Times New Roman" w:hAnsi="Times New Roman"/>
        </w:rPr>
        <w:t>12</w:t>
      </w:r>
      <w:r>
        <w:rPr>
          <w:rFonts w:ascii="Times New Roman" w:hAnsi="Times New Roman"/>
        </w:rPr>
        <w:t xml:space="preserve"> cm</w:t>
      </w:r>
      <w:r>
        <w:rPr>
          <w:rFonts w:hint="eastAsia" w:ascii="宋体" w:hAnsi="Times New Roman"/>
        </w:rPr>
        <w:t>时移入容器内、压实，淋足定根水。</w:t>
      </w:r>
    </w:p>
    <w:p w14:paraId="67027801">
      <w:pPr>
        <w:numPr>
          <w:ilvl w:val="3"/>
          <w:numId w:val="2"/>
        </w:numPr>
        <w:spacing w:before="156" w:beforeLines="50" w:after="156" w:afterLines="50"/>
        <w:outlineLvl w:val="2"/>
        <w:rPr>
          <w:rFonts w:ascii="黑体" w:hAnsi="Times New Roman" w:eastAsia="黑体"/>
        </w:rPr>
      </w:pPr>
      <w:bookmarkStart w:id="91" w:name="OLE_LINK35"/>
      <w:r>
        <w:rPr>
          <w:rFonts w:hint="eastAsia" w:ascii="黑体" w:hAnsi="Times New Roman" w:eastAsia="黑体"/>
        </w:rPr>
        <w:t>苗期管理</w:t>
      </w:r>
    </w:p>
    <w:bookmarkEnd w:id="87"/>
    <w:bookmarkEnd w:id="88"/>
    <w:bookmarkEnd w:id="89"/>
    <w:bookmarkEnd w:id="90"/>
    <w:bookmarkEnd w:id="91"/>
    <w:p w14:paraId="0134BCBB">
      <w:pPr>
        <w:widowControl/>
        <w:numPr>
          <w:ilvl w:val="4"/>
          <w:numId w:val="2"/>
        </w:numPr>
        <w:spacing w:before="156" w:beforeLines="50" w:after="156" w:afterLines="50"/>
        <w:outlineLvl w:val="3"/>
        <w:rPr>
          <w:rFonts w:ascii="黑体" w:hAnsi="Times New Roman" w:eastAsia="黑体"/>
        </w:rPr>
      </w:pPr>
      <w:bookmarkStart w:id="92" w:name="_Toc40695253"/>
      <w:r>
        <w:rPr>
          <w:rFonts w:hint="eastAsia" w:ascii="黑体" w:hAnsi="Times New Roman" w:eastAsia="黑体"/>
        </w:rPr>
        <w:t>光照</w:t>
      </w:r>
    </w:p>
    <w:p w14:paraId="32C865B0">
      <w:pPr>
        <w:autoSpaceDE w:val="0"/>
        <w:autoSpaceDN w:val="0"/>
        <w:ind w:firstLine="420" w:firstLineChars="200"/>
        <w:rPr>
          <w:rFonts w:ascii="Times New Roman" w:hAnsi="Times New Roman"/>
        </w:rPr>
      </w:pPr>
      <w:r>
        <w:rPr>
          <w:rFonts w:hint="eastAsia" w:ascii="Times New Roman" w:hAnsi="Times New Roman"/>
        </w:rPr>
        <w:t>移苗1个月～2个月，遮荫度宜为70％～90％；3个月～4个月，遮荫度宜为30％～50％；</w:t>
      </w:r>
      <w:r>
        <w:rPr>
          <w:rFonts w:ascii="Times New Roman" w:hAnsi="Times New Roman"/>
        </w:rPr>
        <w:t>之后全光育苗。</w:t>
      </w:r>
    </w:p>
    <w:bookmarkEnd w:id="92"/>
    <w:p w14:paraId="452D5272">
      <w:pPr>
        <w:widowControl/>
        <w:numPr>
          <w:ilvl w:val="4"/>
          <w:numId w:val="2"/>
        </w:numPr>
        <w:spacing w:before="156" w:beforeLines="50" w:after="156" w:afterLines="50"/>
        <w:outlineLvl w:val="3"/>
        <w:rPr>
          <w:rFonts w:ascii="黑体" w:hAnsi="Times New Roman" w:eastAsia="黑体"/>
        </w:rPr>
      </w:pPr>
      <w:bookmarkStart w:id="93" w:name="_Toc47338517"/>
      <w:bookmarkStart w:id="94" w:name="_Toc47940656"/>
      <w:bookmarkStart w:id="95" w:name="_Toc50365871"/>
      <w:bookmarkStart w:id="96" w:name="_Toc40695254"/>
      <w:r>
        <w:rPr>
          <w:rFonts w:hint="eastAsia" w:ascii="黑体" w:hAnsi="Times New Roman" w:eastAsia="黑体"/>
        </w:rPr>
        <w:t>水</w:t>
      </w:r>
      <w:r>
        <w:rPr>
          <w:rFonts w:ascii="黑体" w:hAnsi="Times New Roman" w:eastAsia="黑体"/>
        </w:rPr>
        <w:t>分</w:t>
      </w:r>
      <w:bookmarkEnd w:id="93"/>
      <w:bookmarkEnd w:id="94"/>
      <w:bookmarkEnd w:id="95"/>
    </w:p>
    <w:p w14:paraId="02F4AE3B">
      <w:pPr>
        <w:autoSpaceDE w:val="0"/>
        <w:autoSpaceDN w:val="0"/>
        <w:ind w:firstLine="420" w:firstLineChars="200"/>
        <w:rPr>
          <w:rFonts w:ascii="Times New Roman" w:hAnsi="Times New Roman"/>
        </w:rPr>
      </w:pPr>
      <w:r>
        <w:rPr>
          <w:rFonts w:ascii="Times New Roman" w:hAnsi="Times New Roman"/>
        </w:rPr>
        <w:t>晴天及天气干旱时每天早</w:t>
      </w:r>
      <w:r>
        <w:rPr>
          <w:rFonts w:hint="eastAsia" w:ascii="Times New Roman" w:hAnsi="Times New Roman"/>
        </w:rPr>
        <w:t>、</w:t>
      </w:r>
      <w:r>
        <w:rPr>
          <w:rFonts w:ascii="Times New Roman" w:hAnsi="Times New Roman"/>
        </w:rPr>
        <w:t>晚各浇</w:t>
      </w:r>
      <w:r>
        <w:rPr>
          <w:rFonts w:hint="eastAsia" w:ascii="Times New Roman" w:hAnsi="Times New Roman"/>
        </w:rPr>
        <w:t>水</w:t>
      </w:r>
      <w:r>
        <w:rPr>
          <w:rFonts w:ascii="Times New Roman" w:hAnsi="Times New Roman"/>
        </w:rPr>
        <w:t>1次。</w:t>
      </w:r>
      <w:bookmarkEnd w:id="96"/>
    </w:p>
    <w:p w14:paraId="328AF070">
      <w:pPr>
        <w:widowControl/>
        <w:numPr>
          <w:ilvl w:val="4"/>
          <w:numId w:val="2"/>
        </w:numPr>
        <w:spacing w:before="156" w:beforeLines="50" w:after="156" w:afterLines="50"/>
        <w:outlineLvl w:val="3"/>
        <w:rPr>
          <w:rFonts w:ascii="黑体" w:hAnsi="Times New Roman" w:eastAsia="黑体"/>
        </w:rPr>
      </w:pPr>
      <w:bookmarkStart w:id="97" w:name="_Toc50365872"/>
      <w:bookmarkStart w:id="98" w:name="_Toc47338518"/>
      <w:bookmarkStart w:id="99" w:name="_Toc47940657"/>
      <w:bookmarkStart w:id="100" w:name="_Toc40695255"/>
      <w:r>
        <w:rPr>
          <w:rFonts w:hint="eastAsia" w:ascii="黑体" w:hAnsi="Times New Roman" w:eastAsia="黑体"/>
        </w:rPr>
        <w:t>养分</w:t>
      </w:r>
      <w:bookmarkEnd w:id="97"/>
      <w:bookmarkEnd w:id="98"/>
      <w:bookmarkEnd w:id="99"/>
    </w:p>
    <w:p w14:paraId="56B77E53">
      <w:pPr>
        <w:autoSpaceDE w:val="0"/>
        <w:autoSpaceDN w:val="0"/>
        <w:ind w:firstLine="420" w:firstLineChars="200"/>
        <w:rPr>
          <w:rFonts w:ascii="Times New Roman" w:hAnsi="Times New Roman"/>
        </w:rPr>
      </w:pPr>
      <w:r>
        <w:rPr>
          <w:rFonts w:ascii="Times New Roman" w:hAnsi="Times New Roman"/>
        </w:rPr>
        <w:t>移栽后</w:t>
      </w:r>
      <w:r>
        <w:rPr>
          <w:rFonts w:hint="eastAsia" w:ascii="Times New Roman" w:hAnsi="Times New Roman"/>
        </w:rPr>
        <w:t>2个</w:t>
      </w:r>
      <w:r>
        <w:rPr>
          <w:rFonts w:ascii="Times New Roman" w:hAnsi="Times New Roman"/>
        </w:rPr>
        <w:t>月</w:t>
      </w:r>
      <w:r>
        <w:rPr>
          <w:rFonts w:hint="eastAsia" w:ascii="Times New Roman" w:hAnsi="Times New Roman"/>
        </w:rPr>
        <w:t>～3个月，每15 d浇施1次0.1%～0.15%的</w:t>
      </w:r>
      <w:r>
        <w:rPr>
          <w:rFonts w:ascii="Times New Roman" w:hAnsi="Times New Roman"/>
        </w:rPr>
        <w:t>尿素</w:t>
      </w:r>
      <w:r>
        <w:rPr>
          <w:rFonts w:hint="eastAsia" w:ascii="Times New Roman" w:hAnsi="Times New Roman"/>
        </w:rPr>
        <w:t>（总氮</w:t>
      </w:r>
      <w:r>
        <w:rPr>
          <w:rFonts w:hint="eastAsia" w:ascii="宋体" w:hAnsi="宋体" w:cs="宋体"/>
        </w:rPr>
        <w:t>≥</w:t>
      </w:r>
      <w:r>
        <w:rPr>
          <w:rFonts w:ascii="Times New Roman" w:hAnsi="Times New Roman"/>
        </w:rPr>
        <w:t>4</w:t>
      </w:r>
      <w:r>
        <w:rPr>
          <w:rFonts w:hint="eastAsia" w:ascii="Times New Roman" w:hAnsi="Times New Roman"/>
        </w:rPr>
        <w:t>6</w:t>
      </w:r>
      <w:r>
        <w:rPr>
          <w:rFonts w:ascii="Times New Roman" w:hAnsi="Times New Roman"/>
        </w:rPr>
        <w:t>%</w:t>
      </w:r>
      <w:r>
        <w:rPr>
          <w:rFonts w:hint="eastAsia" w:ascii="Times New Roman" w:hAnsi="Times New Roman"/>
        </w:rPr>
        <w:t>）溶</w:t>
      </w:r>
      <w:r>
        <w:rPr>
          <w:rFonts w:ascii="Times New Roman" w:hAnsi="Times New Roman"/>
        </w:rPr>
        <w:t>液；移栽</w:t>
      </w:r>
      <w:r>
        <w:rPr>
          <w:rFonts w:hint="eastAsia" w:ascii="Times New Roman" w:hAnsi="Times New Roman"/>
        </w:rPr>
        <w:t>4个月</w:t>
      </w:r>
      <w:r>
        <w:rPr>
          <w:rFonts w:ascii="Times New Roman" w:hAnsi="Times New Roman"/>
        </w:rPr>
        <w:t>后</w:t>
      </w:r>
      <w:r>
        <w:rPr>
          <w:rFonts w:hint="eastAsia" w:ascii="Times New Roman" w:hAnsi="Times New Roman"/>
        </w:rPr>
        <w:t>，</w:t>
      </w:r>
      <w:r>
        <w:rPr>
          <w:rFonts w:ascii="Times New Roman" w:hAnsi="Times New Roman"/>
        </w:rPr>
        <w:t>每</w:t>
      </w:r>
      <w:r>
        <w:rPr>
          <w:rFonts w:hint="eastAsia" w:ascii="Times New Roman" w:hAnsi="Times New Roman"/>
        </w:rPr>
        <w:t>月浇施1次0.5%～1.0%的NPK复合肥</w:t>
      </w:r>
      <w:r>
        <w:rPr>
          <w:rFonts w:hint="eastAsia" w:ascii="Times New Roman" w:hAnsi="Times New Roman"/>
          <w:color w:val="000000"/>
        </w:rPr>
        <w:t>（总养分</w:t>
      </w:r>
      <w:r>
        <w:rPr>
          <w:rFonts w:hint="eastAsia" w:ascii="宋体" w:hAnsi="宋体" w:cs="宋体"/>
        </w:rPr>
        <w:t>≥</w:t>
      </w:r>
      <w:r>
        <w:rPr>
          <w:rFonts w:ascii="Times New Roman" w:hAnsi="Times New Roman"/>
        </w:rPr>
        <w:t>45%</w:t>
      </w:r>
      <w:r>
        <w:rPr>
          <w:rFonts w:hint="eastAsia" w:ascii="Times New Roman" w:hAnsi="Times New Roman"/>
        </w:rPr>
        <w:t>），</w:t>
      </w:r>
      <w:r>
        <w:rPr>
          <w:rFonts w:ascii="Times New Roman" w:hAnsi="Times New Roman"/>
        </w:rPr>
        <w:t>施肥后用清水喷淋叶面。</w:t>
      </w:r>
    </w:p>
    <w:bookmarkEnd w:id="100"/>
    <w:p w14:paraId="17665857">
      <w:pPr>
        <w:widowControl/>
        <w:numPr>
          <w:ilvl w:val="4"/>
          <w:numId w:val="2"/>
        </w:numPr>
        <w:spacing w:before="156" w:beforeLines="50" w:after="156" w:afterLines="50"/>
        <w:outlineLvl w:val="3"/>
        <w:rPr>
          <w:rFonts w:ascii="黑体" w:hAnsi="Times New Roman" w:eastAsia="黑体"/>
        </w:rPr>
      </w:pPr>
      <w:bookmarkStart w:id="101" w:name="_Toc47940660"/>
      <w:bookmarkStart w:id="102" w:name="_Toc50365875"/>
      <w:bookmarkStart w:id="103" w:name="_Toc47338521"/>
      <w:bookmarkStart w:id="104" w:name="_Toc40695258"/>
      <w:bookmarkStart w:id="105" w:name="_Toc33536634"/>
      <w:r>
        <w:rPr>
          <w:rFonts w:hint="eastAsia" w:ascii="黑体" w:hAnsi="Times New Roman" w:eastAsia="黑体"/>
        </w:rPr>
        <w:t>炼</w:t>
      </w:r>
      <w:r>
        <w:rPr>
          <w:rFonts w:ascii="黑体" w:hAnsi="Times New Roman" w:eastAsia="黑体"/>
        </w:rPr>
        <w:t>苗</w:t>
      </w:r>
      <w:bookmarkEnd w:id="101"/>
      <w:bookmarkEnd w:id="102"/>
      <w:bookmarkEnd w:id="103"/>
      <w:bookmarkEnd w:id="104"/>
    </w:p>
    <w:p w14:paraId="5666D568">
      <w:pPr>
        <w:widowControl/>
        <w:autoSpaceDE w:val="0"/>
        <w:autoSpaceDN w:val="0"/>
        <w:ind w:firstLine="420" w:firstLineChars="200"/>
        <w:rPr>
          <w:rFonts w:ascii="Times New Roman" w:hAnsi="Times New Roman"/>
          <w:kern w:val="0"/>
          <w:szCs w:val="20"/>
        </w:rPr>
      </w:pPr>
      <w:r>
        <w:rPr>
          <w:rFonts w:ascii="Times New Roman" w:hAnsi="Times New Roman"/>
          <w:kern w:val="0"/>
          <w:szCs w:val="20"/>
        </w:rPr>
        <w:t>出圃前1</w:t>
      </w:r>
      <w:r>
        <w:rPr>
          <w:rFonts w:hint="eastAsia" w:ascii="Times New Roman" w:hAnsi="Times New Roman"/>
          <w:kern w:val="0"/>
          <w:szCs w:val="20"/>
        </w:rPr>
        <w:t>个月～2个月</w:t>
      </w:r>
      <w:r>
        <w:rPr>
          <w:rFonts w:ascii="Times New Roman" w:hAnsi="Times New Roman"/>
          <w:kern w:val="0"/>
          <w:szCs w:val="20"/>
        </w:rPr>
        <w:t>炼苗，</w:t>
      </w:r>
      <w:r>
        <w:rPr>
          <w:rFonts w:hint="eastAsia" w:ascii="Times New Roman" w:hAnsi="Times New Roman"/>
          <w:kern w:val="0"/>
          <w:szCs w:val="20"/>
        </w:rPr>
        <w:t>减少浇</w:t>
      </w:r>
      <w:r>
        <w:rPr>
          <w:rFonts w:ascii="Times New Roman" w:hAnsi="Times New Roman"/>
          <w:kern w:val="0"/>
          <w:szCs w:val="20"/>
        </w:rPr>
        <w:t>水</w:t>
      </w:r>
      <w:r>
        <w:rPr>
          <w:rFonts w:hint="eastAsia" w:ascii="Times New Roman" w:hAnsi="Times New Roman"/>
          <w:kern w:val="0"/>
          <w:szCs w:val="20"/>
        </w:rPr>
        <w:t>次数</w:t>
      </w:r>
      <w:r>
        <w:rPr>
          <w:rFonts w:ascii="Times New Roman" w:hAnsi="Times New Roman"/>
          <w:kern w:val="0"/>
          <w:szCs w:val="20"/>
        </w:rPr>
        <w:t>，以苗木不发生</w:t>
      </w:r>
      <w:r>
        <w:rPr>
          <w:rFonts w:hint="eastAsia" w:ascii="Times New Roman" w:hAnsi="Times New Roman"/>
          <w:kern w:val="0"/>
          <w:szCs w:val="20"/>
        </w:rPr>
        <w:t>萎蔫</w:t>
      </w:r>
      <w:r>
        <w:rPr>
          <w:rFonts w:ascii="Times New Roman" w:hAnsi="Times New Roman"/>
          <w:kern w:val="0"/>
          <w:szCs w:val="20"/>
        </w:rPr>
        <w:t>为度。</w:t>
      </w:r>
    </w:p>
    <w:p w14:paraId="2D5CBE94">
      <w:pPr>
        <w:numPr>
          <w:ilvl w:val="2"/>
          <w:numId w:val="2"/>
        </w:numPr>
        <w:spacing w:before="156" w:beforeLines="50" w:after="156" w:afterLines="50"/>
        <w:outlineLvl w:val="1"/>
        <w:rPr>
          <w:rFonts w:ascii="黑体" w:hAnsi="Times New Roman" w:eastAsia="黑体"/>
        </w:rPr>
      </w:pPr>
      <w:bookmarkStart w:id="106" w:name="_Toc40695259"/>
      <w:bookmarkStart w:id="107" w:name="_Toc50365876"/>
      <w:bookmarkStart w:id="108" w:name="_Toc47338522"/>
      <w:bookmarkStart w:id="109" w:name="_Toc63146629"/>
      <w:bookmarkStart w:id="110" w:name="_Toc229325413"/>
      <w:r>
        <w:rPr>
          <w:rFonts w:hint="eastAsia" w:ascii="黑体" w:hAnsi="Times New Roman" w:eastAsia="黑体"/>
        </w:rPr>
        <w:t>苗木分级</w:t>
      </w:r>
      <w:bookmarkEnd w:id="105"/>
      <w:bookmarkEnd w:id="106"/>
      <w:bookmarkEnd w:id="107"/>
      <w:bookmarkEnd w:id="108"/>
      <w:bookmarkEnd w:id="109"/>
      <w:bookmarkEnd w:id="110"/>
    </w:p>
    <w:p w14:paraId="1956A145">
      <w:pPr>
        <w:widowControl/>
        <w:autoSpaceDE w:val="0"/>
        <w:autoSpaceDN w:val="0"/>
        <w:ind w:firstLine="420" w:firstLineChars="200"/>
        <w:rPr>
          <w:rFonts w:ascii="Times New Roman" w:hAnsi="Times New Roman"/>
          <w:kern w:val="0"/>
        </w:rPr>
      </w:pPr>
      <w:bookmarkStart w:id="111" w:name="OLE_LINK3"/>
      <w:r>
        <w:rPr>
          <w:rFonts w:ascii="宋体" w:hAnsi="宋体"/>
          <w:kern w:val="0"/>
        </w:rPr>
        <w:t>以苗高和地径为指标，将</w:t>
      </w:r>
      <w:r>
        <w:rPr>
          <w:rFonts w:hint="eastAsia" w:ascii="宋体" w:hAnsi="宋体"/>
          <w:kern w:val="0"/>
        </w:rPr>
        <w:t>容器苗</w:t>
      </w:r>
      <w:bookmarkEnd w:id="111"/>
      <w:r>
        <w:rPr>
          <w:rFonts w:ascii="宋体" w:hAnsi="宋体"/>
          <w:kern w:val="0"/>
        </w:rPr>
        <w:t>分为</w:t>
      </w:r>
      <w:r>
        <w:rPr>
          <w:rFonts w:hint="eastAsia" w:ascii="Times New Roman" w:hAnsi="Times New Roman"/>
          <w:kern w:val="0"/>
        </w:rPr>
        <w:t>2</w:t>
      </w:r>
      <w:r>
        <w:rPr>
          <w:rFonts w:ascii="Times New Roman" w:hAnsi="Times New Roman"/>
          <w:kern w:val="0"/>
        </w:rPr>
        <w:t>级，见表1。</w:t>
      </w:r>
    </w:p>
    <w:p w14:paraId="6BE3D6CC">
      <w:pPr>
        <w:numPr>
          <w:ilvl w:val="0"/>
          <w:numId w:val="32"/>
        </w:numPr>
        <w:spacing w:before="156" w:beforeLines="50" w:after="156" w:afterLines="50"/>
        <w:jc w:val="center"/>
        <w:rPr>
          <w:rFonts w:ascii="黑体" w:hAnsi="Times New Roman" w:eastAsia="黑体"/>
        </w:rPr>
      </w:pPr>
      <w:r>
        <w:rPr>
          <w:rFonts w:hint="eastAsia" w:ascii="黑体" w:hAnsi="黑体" w:eastAsia="黑体"/>
        </w:rPr>
        <w:t>坡垒容器苗分级</w:t>
      </w:r>
    </w:p>
    <w:tbl>
      <w:tblPr>
        <w:tblStyle w:val="26"/>
        <w:tblW w:w="9374"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0" w:type="dxa"/>
          <w:bottom w:w="0" w:type="dxa"/>
          <w:right w:w="0" w:type="dxa"/>
        </w:tblCellMar>
      </w:tblPr>
      <w:tblGrid>
        <w:gridCol w:w="1995"/>
        <w:gridCol w:w="2126"/>
        <w:gridCol w:w="1701"/>
        <w:gridCol w:w="3552"/>
      </w:tblGrid>
      <w:tr w14:paraId="46B51A5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jc w:val="center"/>
        </w:trPr>
        <w:tc>
          <w:tcPr>
            <w:tcW w:w="1995" w:type="dxa"/>
            <w:vMerge w:val="restart"/>
            <w:tcBorders>
              <w:top w:val="single" w:color="auto" w:sz="8" w:space="0"/>
              <w:left w:val="single" w:color="auto" w:sz="8" w:space="0"/>
              <w:bottom w:val="single" w:color="auto" w:sz="24" w:space="0"/>
              <w:tl2br w:val="nil"/>
              <w:tr2bl w:val="nil"/>
            </w:tcBorders>
            <w:vAlign w:val="center"/>
          </w:tcPr>
          <w:p w14:paraId="05DE03AF">
            <w:pPr>
              <w:widowControl/>
              <w:autoSpaceDE w:val="0"/>
              <w:autoSpaceDN w:val="0"/>
              <w:jc w:val="center"/>
              <w:rPr>
                <w:rFonts w:ascii="宋体" w:hAnsi="宋体"/>
                <w:kern w:val="0"/>
              </w:rPr>
            </w:pPr>
            <w:r>
              <w:rPr>
                <w:rFonts w:hint="eastAsia" w:ascii="宋体" w:hAnsi="宋体"/>
                <w:kern w:val="0"/>
              </w:rPr>
              <w:t>苗木等级</w:t>
            </w:r>
          </w:p>
        </w:tc>
        <w:tc>
          <w:tcPr>
            <w:tcW w:w="3827" w:type="dxa"/>
            <w:gridSpan w:val="2"/>
            <w:tcBorders>
              <w:top w:val="single" w:color="auto" w:sz="8" w:space="0"/>
              <w:bottom w:val="single" w:color="auto" w:sz="4" w:space="0"/>
              <w:tl2br w:val="nil"/>
              <w:tr2bl w:val="nil"/>
            </w:tcBorders>
            <w:vAlign w:val="center"/>
          </w:tcPr>
          <w:p w14:paraId="43E5E8F3">
            <w:pPr>
              <w:widowControl/>
              <w:autoSpaceDE w:val="0"/>
              <w:autoSpaceDN w:val="0"/>
              <w:jc w:val="center"/>
              <w:rPr>
                <w:rFonts w:ascii="宋体" w:hAnsi="宋体"/>
                <w:kern w:val="0"/>
              </w:rPr>
            </w:pPr>
            <w:r>
              <w:rPr>
                <w:rFonts w:hint="eastAsia" w:ascii="宋体" w:hAnsi="宋体"/>
                <w:kern w:val="0"/>
              </w:rPr>
              <w:t>等级指标</w:t>
            </w:r>
          </w:p>
        </w:tc>
        <w:tc>
          <w:tcPr>
            <w:tcW w:w="3552" w:type="dxa"/>
            <w:vMerge w:val="restart"/>
            <w:tcBorders>
              <w:top w:val="single" w:color="auto" w:sz="8" w:space="0"/>
              <w:bottom w:val="single" w:color="auto" w:sz="4" w:space="0"/>
              <w:right w:val="single" w:color="auto" w:sz="8" w:space="0"/>
              <w:tl2br w:val="nil"/>
              <w:tr2bl w:val="nil"/>
            </w:tcBorders>
            <w:vAlign w:val="center"/>
          </w:tcPr>
          <w:p w14:paraId="0B40A384">
            <w:pPr>
              <w:widowControl/>
              <w:autoSpaceDE w:val="0"/>
              <w:autoSpaceDN w:val="0"/>
              <w:jc w:val="center"/>
              <w:rPr>
                <w:kern w:val="0"/>
              </w:rPr>
            </w:pPr>
            <w:r>
              <w:rPr>
                <w:rFonts w:hint="eastAsia" w:ascii="宋体" w:hAnsi="宋体"/>
                <w:kern w:val="0"/>
              </w:rPr>
              <w:t>综合指标</w:t>
            </w:r>
          </w:p>
        </w:tc>
      </w:tr>
      <w:tr w14:paraId="04A04B3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jc w:val="center"/>
        </w:trPr>
        <w:tc>
          <w:tcPr>
            <w:tcW w:w="1995" w:type="dxa"/>
            <w:vMerge w:val="continue"/>
            <w:tcBorders>
              <w:top w:val="single" w:color="auto" w:sz="4" w:space="0"/>
              <w:left w:val="single" w:color="auto" w:sz="8" w:space="0"/>
              <w:bottom w:val="single" w:color="auto" w:sz="8" w:space="0"/>
              <w:tl2br w:val="nil"/>
              <w:tr2bl w:val="nil"/>
            </w:tcBorders>
            <w:vAlign w:val="center"/>
          </w:tcPr>
          <w:p w14:paraId="5D1F1A28">
            <w:pPr>
              <w:widowControl/>
              <w:autoSpaceDE w:val="0"/>
              <w:autoSpaceDN w:val="0"/>
              <w:jc w:val="center"/>
              <w:rPr>
                <w:kern w:val="0"/>
              </w:rPr>
            </w:pPr>
          </w:p>
        </w:tc>
        <w:tc>
          <w:tcPr>
            <w:tcW w:w="2126" w:type="dxa"/>
            <w:tcBorders>
              <w:top w:val="single" w:color="auto" w:sz="4" w:space="0"/>
              <w:bottom w:val="single" w:color="auto" w:sz="8" w:space="0"/>
              <w:tl2br w:val="nil"/>
              <w:tr2bl w:val="nil"/>
            </w:tcBorders>
            <w:vAlign w:val="center"/>
          </w:tcPr>
          <w:p w14:paraId="53B3E4CE">
            <w:pPr>
              <w:widowControl/>
              <w:autoSpaceDE w:val="0"/>
              <w:autoSpaceDN w:val="0"/>
              <w:jc w:val="center"/>
              <w:rPr>
                <w:kern w:val="0"/>
              </w:rPr>
            </w:pPr>
            <w:r>
              <w:rPr>
                <w:rFonts w:ascii="宋体" w:hAnsi="宋体"/>
                <w:kern w:val="0"/>
              </w:rPr>
              <w:t>苗高（</w:t>
            </w:r>
            <w:r>
              <w:rPr>
                <w:rFonts w:ascii="Times New Roman" w:hAnsi="Times New Roman"/>
                <w:kern w:val="0"/>
              </w:rPr>
              <w:t>H</w:t>
            </w:r>
            <w:r>
              <w:rPr>
                <w:rFonts w:ascii="宋体" w:hAnsi="宋体"/>
              </w:rPr>
              <w:t>，</w:t>
            </w:r>
            <w:r>
              <w:rPr>
                <w:rFonts w:ascii="Times New Roman" w:hAnsi="Times New Roman"/>
              </w:rPr>
              <w:t>cm</w:t>
            </w:r>
            <w:r>
              <w:rPr>
                <w:rFonts w:ascii="宋体" w:hAnsi="宋体"/>
                <w:kern w:val="0"/>
              </w:rPr>
              <w:t>）</w:t>
            </w:r>
          </w:p>
        </w:tc>
        <w:tc>
          <w:tcPr>
            <w:tcW w:w="1701" w:type="dxa"/>
            <w:tcBorders>
              <w:top w:val="single" w:color="auto" w:sz="4" w:space="0"/>
              <w:bottom w:val="single" w:color="auto" w:sz="8" w:space="0"/>
              <w:tl2br w:val="nil"/>
              <w:tr2bl w:val="nil"/>
            </w:tcBorders>
            <w:vAlign w:val="center"/>
          </w:tcPr>
          <w:p w14:paraId="0F744104">
            <w:pPr>
              <w:widowControl/>
              <w:autoSpaceDE w:val="0"/>
              <w:autoSpaceDN w:val="0"/>
              <w:jc w:val="center"/>
              <w:rPr>
                <w:kern w:val="0"/>
              </w:rPr>
            </w:pPr>
            <w:r>
              <w:rPr>
                <w:rFonts w:ascii="宋体" w:hAnsi="宋体"/>
                <w:kern w:val="0"/>
              </w:rPr>
              <w:t>地径（</w:t>
            </w:r>
            <w:r>
              <w:rPr>
                <w:rFonts w:ascii="Times New Roman" w:hAnsi="Times New Roman"/>
                <w:kern w:val="0"/>
              </w:rPr>
              <w:t>D</w:t>
            </w:r>
            <w:r>
              <w:rPr>
                <w:rFonts w:ascii="宋体" w:hAnsi="宋体"/>
              </w:rPr>
              <w:t>，</w:t>
            </w:r>
            <w:r>
              <w:rPr>
                <w:rFonts w:ascii="Times New Roman" w:hAnsi="Times New Roman"/>
              </w:rPr>
              <w:t>cm</w:t>
            </w:r>
            <w:r>
              <w:rPr>
                <w:rFonts w:ascii="宋体" w:hAnsi="宋体"/>
                <w:kern w:val="0"/>
              </w:rPr>
              <w:t>）</w:t>
            </w:r>
          </w:p>
        </w:tc>
        <w:tc>
          <w:tcPr>
            <w:tcW w:w="3552" w:type="dxa"/>
            <w:vMerge w:val="continue"/>
            <w:tcBorders>
              <w:top w:val="single" w:color="auto" w:sz="4" w:space="0"/>
              <w:bottom w:val="single" w:color="auto" w:sz="8" w:space="0"/>
              <w:right w:val="single" w:color="auto" w:sz="8" w:space="0"/>
              <w:tl2br w:val="nil"/>
              <w:tr2bl w:val="nil"/>
            </w:tcBorders>
          </w:tcPr>
          <w:p w14:paraId="12B81FFD">
            <w:pPr>
              <w:widowControl/>
              <w:autoSpaceDE w:val="0"/>
              <w:autoSpaceDN w:val="0"/>
              <w:jc w:val="center"/>
              <w:rPr>
                <w:kern w:val="0"/>
              </w:rPr>
            </w:pPr>
          </w:p>
        </w:tc>
      </w:tr>
      <w:tr w14:paraId="5B8E133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jc w:val="center"/>
        </w:trPr>
        <w:tc>
          <w:tcPr>
            <w:tcW w:w="1995" w:type="dxa"/>
            <w:tcBorders>
              <w:top w:val="single" w:color="auto" w:sz="8" w:space="0"/>
              <w:left w:val="single" w:color="auto" w:sz="8" w:space="0"/>
              <w:bottom w:val="single" w:color="auto" w:sz="4" w:space="0"/>
              <w:tl2br w:val="nil"/>
              <w:tr2bl w:val="nil"/>
            </w:tcBorders>
            <w:vAlign w:val="center"/>
          </w:tcPr>
          <w:p w14:paraId="1ADC0B4C">
            <w:pPr>
              <w:widowControl/>
              <w:autoSpaceDE w:val="0"/>
              <w:autoSpaceDN w:val="0"/>
              <w:jc w:val="center"/>
              <w:rPr>
                <w:rFonts w:ascii="Times New Roman" w:hAnsi="Times New Roman"/>
                <w:kern w:val="0"/>
              </w:rPr>
            </w:pPr>
            <w:r>
              <w:rPr>
                <w:rFonts w:ascii="Times New Roman" w:hAnsi="Times New Roman"/>
              </w:rPr>
              <w:t>Ⅰ</w:t>
            </w:r>
            <w:r>
              <w:rPr>
                <w:rFonts w:cs="Calibri"/>
                <w:kern w:val="0"/>
              </w:rPr>
              <w:t xml:space="preserve"> </w:t>
            </w:r>
            <w:r>
              <w:rPr>
                <w:rFonts w:ascii="宋体" w:hAnsi="宋体"/>
                <w:kern w:val="0"/>
              </w:rPr>
              <w:t>级</w:t>
            </w:r>
          </w:p>
        </w:tc>
        <w:tc>
          <w:tcPr>
            <w:tcW w:w="2126" w:type="dxa"/>
            <w:tcBorders>
              <w:top w:val="single" w:color="auto" w:sz="8" w:space="0"/>
              <w:bottom w:val="single" w:color="auto" w:sz="4" w:space="0"/>
              <w:tl2br w:val="nil"/>
              <w:tr2bl w:val="nil"/>
            </w:tcBorders>
            <w:vAlign w:val="center"/>
          </w:tcPr>
          <w:p w14:paraId="6D13F751">
            <w:pPr>
              <w:widowControl/>
              <w:autoSpaceDE w:val="0"/>
              <w:autoSpaceDN w:val="0"/>
              <w:jc w:val="center"/>
              <w:rPr>
                <w:rFonts w:ascii="Times New Roman" w:hAnsi="Times New Roman"/>
                <w:kern w:val="0"/>
              </w:rPr>
            </w:pPr>
            <w:r>
              <w:rPr>
                <w:rFonts w:hint="eastAsia" w:ascii="Times New Roman" w:hAnsi="Times New Roman"/>
                <w:kern w:val="0"/>
              </w:rPr>
              <w:t>6</w:t>
            </w:r>
            <w:r>
              <w:rPr>
                <w:rFonts w:ascii="Times New Roman" w:hAnsi="Times New Roman"/>
                <w:kern w:val="0"/>
              </w:rPr>
              <w:t>0</w:t>
            </w:r>
            <w:r>
              <w:rPr>
                <w:rFonts w:ascii="宋体" w:hAnsi="宋体"/>
              </w:rPr>
              <w:t>＜</w:t>
            </w:r>
            <w:r>
              <w:rPr>
                <w:rFonts w:ascii="Times New Roman" w:hAnsi="Times New Roman"/>
                <w:kern w:val="0"/>
              </w:rPr>
              <w:t>H</w:t>
            </w:r>
            <w:r>
              <w:rPr>
                <w:rFonts w:hint="eastAsia" w:ascii="宋体" w:hAnsi="宋体"/>
                <w:kern w:val="0"/>
              </w:rPr>
              <w:t>≤</w:t>
            </w:r>
            <w:r>
              <w:rPr>
                <w:rFonts w:ascii="Times New Roman" w:hAnsi="Times New Roman"/>
                <w:kern w:val="0"/>
              </w:rPr>
              <w:t>120</w:t>
            </w:r>
          </w:p>
        </w:tc>
        <w:tc>
          <w:tcPr>
            <w:tcW w:w="1701" w:type="dxa"/>
            <w:tcBorders>
              <w:top w:val="single" w:color="auto" w:sz="8" w:space="0"/>
              <w:bottom w:val="single" w:color="auto" w:sz="4" w:space="0"/>
              <w:tl2br w:val="nil"/>
              <w:tr2bl w:val="nil"/>
            </w:tcBorders>
            <w:vAlign w:val="center"/>
          </w:tcPr>
          <w:p w14:paraId="5D937F5C">
            <w:pPr>
              <w:widowControl/>
              <w:autoSpaceDE w:val="0"/>
              <w:autoSpaceDN w:val="0"/>
              <w:jc w:val="center"/>
              <w:rPr>
                <w:rFonts w:ascii="Times New Roman" w:hAnsi="Times New Roman"/>
                <w:kern w:val="0"/>
              </w:rPr>
            </w:pPr>
            <w:r>
              <w:rPr>
                <w:rFonts w:ascii="Times New Roman" w:hAnsi="Times New Roman"/>
                <w:kern w:val="0"/>
              </w:rPr>
              <w:t>0.8</w:t>
            </w:r>
            <w:r>
              <w:rPr>
                <w:rFonts w:ascii="宋体" w:hAnsi="宋体"/>
              </w:rPr>
              <w:t>＜</w:t>
            </w:r>
            <w:r>
              <w:rPr>
                <w:rFonts w:ascii="Times New Roman" w:hAnsi="Times New Roman"/>
                <w:kern w:val="0"/>
              </w:rPr>
              <w:t>D</w:t>
            </w:r>
            <w:r>
              <w:rPr>
                <w:rFonts w:hint="eastAsia" w:ascii="宋体" w:hAnsi="宋体"/>
                <w:kern w:val="0"/>
              </w:rPr>
              <w:t>≤</w:t>
            </w:r>
            <w:r>
              <w:rPr>
                <w:rFonts w:hint="eastAsia" w:ascii="Times New Roman" w:hAnsi="Times New Roman"/>
                <w:kern w:val="0"/>
              </w:rPr>
              <w:t>1</w:t>
            </w:r>
            <w:r>
              <w:rPr>
                <w:rFonts w:ascii="Times New Roman" w:hAnsi="Times New Roman"/>
                <w:kern w:val="0"/>
              </w:rPr>
              <w:t>.</w:t>
            </w:r>
            <w:r>
              <w:rPr>
                <w:rFonts w:hint="eastAsia" w:ascii="Times New Roman" w:hAnsi="Times New Roman"/>
                <w:kern w:val="0"/>
              </w:rPr>
              <w:t>2</w:t>
            </w:r>
          </w:p>
        </w:tc>
        <w:tc>
          <w:tcPr>
            <w:tcW w:w="3552" w:type="dxa"/>
            <w:vMerge w:val="restart"/>
            <w:tcBorders>
              <w:top w:val="single" w:color="auto" w:sz="8" w:space="0"/>
              <w:bottom w:val="single" w:color="auto" w:sz="8" w:space="0"/>
              <w:right w:val="single" w:color="auto" w:sz="8" w:space="0"/>
              <w:tl2br w:val="nil"/>
              <w:tr2bl w:val="nil"/>
            </w:tcBorders>
          </w:tcPr>
          <w:p w14:paraId="199C8D2A">
            <w:pPr>
              <w:widowControl/>
              <w:autoSpaceDE w:val="0"/>
              <w:autoSpaceDN w:val="0"/>
              <w:rPr>
                <w:color w:val="FF0000"/>
                <w:kern w:val="0"/>
              </w:rPr>
            </w:pPr>
            <w:r>
              <w:rPr>
                <w:rFonts w:hint="eastAsia" w:ascii="宋体" w:hAnsi="宋体"/>
                <w:kern w:val="0"/>
              </w:rPr>
              <w:t>根系发达，根团完整；茎干木质化，无机械损伤；顶芽完好；无明显病害；容器不破损。</w:t>
            </w:r>
          </w:p>
        </w:tc>
      </w:tr>
      <w:tr w14:paraId="2F06B8B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0" w:type="dxa"/>
            <w:bottom w:w="0" w:type="dxa"/>
            <w:right w:w="0" w:type="dxa"/>
          </w:tblCellMar>
        </w:tblPrEx>
        <w:trPr>
          <w:jc w:val="center"/>
        </w:trPr>
        <w:tc>
          <w:tcPr>
            <w:tcW w:w="1995" w:type="dxa"/>
            <w:tcBorders>
              <w:top w:val="single" w:color="auto" w:sz="4" w:space="0"/>
              <w:left w:val="single" w:color="auto" w:sz="8" w:space="0"/>
              <w:bottom w:val="single" w:color="auto" w:sz="8" w:space="0"/>
              <w:tl2br w:val="nil"/>
              <w:tr2bl w:val="nil"/>
            </w:tcBorders>
            <w:vAlign w:val="center"/>
          </w:tcPr>
          <w:p w14:paraId="2E8635A1">
            <w:pPr>
              <w:widowControl/>
              <w:autoSpaceDE w:val="0"/>
              <w:autoSpaceDN w:val="0"/>
              <w:jc w:val="center"/>
              <w:rPr>
                <w:rFonts w:ascii="Times New Roman" w:hAnsi="Times New Roman"/>
                <w:kern w:val="0"/>
              </w:rPr>
            </w:pPr>
            <w:r>
              <w:rPr>
                <w:rFonts w:ascii="Times New Roman" w:hAnsi="Times New Roman"/>
                <w:kern w:val="0"/>
              </w:rPr>
              <w:t>Ⅱ</w:t>
            </w:r>
            <w:r>
              <w:rPr>
                <w:rFonts w:cs="Calibri"/>
                <w:kern w:val="0"/>
              </w:rPr>
              <w:t xml:space="preserve"> </w:t>
            </w:r>
            <w:r>
              <w:rPr>
                <w:rFonts w:ascii="宋体" w:hAnsi="宋体"/>
                <w:kern w:val="0"/>
              </w:rPr>
              <w:t>级</w:t>
            </w:r>
          </w:p>
        </w:tc>
        <w:tc>
          <w:tcPr>
            <w:tcW w:w="2126" w:type="dxa"/>
            <w:tcBorders>
              <w:top w:val="single" w:color="auto" w:sz="4" w:space="0"/>
              <w:bottom w:val="single" w:color="auto" w:sz="8" w:space="0"/>
              <w:tl2br w:val="nil"/>
              <w:tr2bl w:val="nil"/>
            </w:tcBorders>
            <w:vAlign w:val="center"/>
          </w:tcPr>
          <w:p w14:paraId="4B41F4B7">
            <w:pPr>
              <w:widowControl/>
              <w:autoSpaceDE w:val="0"/>
              <w:autoSpaceDN w:val="0"/>
              <w:jc w:val="center"/>
              <w:rPr>
                <w:rFonts w:ascii="Times New Roman" w:hAnsi="Times New Roman"/>
                <w:kern w:val="0"/>
              </w:rPr>
            </w:pPr>
            <w:r>
              <w:rPr>
                <w:rFonts w:hint="eastAsia" w:ascii="Times New Roman" w:hAnsi="Times New Roman"/>
                <w:kern w:val="0"/>
              </w:rPr>
              <w:t>30</w:t>
            </w:r>
            <w:r>
              <w:rPr>
                <w:rFonts w:ascii="宋体" w:hAnsi="宋体"/>
              </w:rPr>
              <w:t>＜</w:t>
            </w:r>
            <w:r>
              <w:rPr>
                <w:rFonts w:ascii="Times New Roman" w:hAnsi="Times New Roman"/>
                <w:kern w:val="0"/>
              </w:rPr>
              <w:t>H</w:t>
            </w:r>
            <w:r>
              <w:rPr>
                <w:rFonts w:hint="eastAsia" w:ascii="宋体" w:hAnsi="宋体"/>
                <w:kern w:val="0"/>
              </w:rPr>
              <w:t>≤</w:t>
            </w:r>
            <w:r>
              <w:rPr>
                <w:rFonts w:hint="eastAsia" w:ascii="Times New Roman" w:hAnsi="Times New Roman"/>
                <w:kern w:val="0"/>
              </w:rPr>
              <w:t>6</w:t>
            </w:r>
            <w:r>
              <w:rPr>
                <w:rFonts w:ascii="Times New Roman" w:hAnsi="Times New Roman"/>
                <w:kern w:val="0"/>
              </w:rPr>
              <w:t>0</w:t>
            </w:r>
          </w:p>
        </w:tc>
        <w:tc>
          <w:tcPr>
            <w:tcW w:w="1701" w:type="dxa"/>
            <w:tcBorders>
              <w:top w:val="single" w:color="auto" w:sz="4" w:space="0"/>
              <w:bottom w:val="single" w:color="auto" w:sz="8" w:space="0"/>
              <w:tl2br w:val="nil"/>
              <w:tr2bl w:val="nil"/>
            </w:tcBorders>
            <w:vAlign w:val="center"/>
          </w:tcPr>
          <w:p w14:paraId="4A6BA878">
            <w:pPr>
              <w:widowControl/>
              <w:autoSpaceDE w:val="0"/>
              <w:autoSpaceDN w:val="0"/>
              <w:jc w:val="center"/>
              <w:rPr>
                <w:rFonts w:ascii="Times New Roman" w:hAnsi="Times New Roman"/>
                <w:kern w:val="0"/>
              </w:rPr>
            </w:pPr>
            <w:r>
              <w:rPr>
                <w:rFonts w:ascii="Times New Roman" w:hAnsi="Times New Roman"/>
                <w:kern w:val="0"/>
              </w:rPr>
              <w:t>0.5</w:t>
            </w:r>
            <w:r>
              <w:rPr>
                <w:rFonts w:ascii="宋体" w:hAnsi="宋体"/>
              </w:rPr>
              <w:t>＜</w:t>
            </w:r>
            <w:r>
              <w:rPr>
                <w:rFonts w:ascii="Times New Roman" w:hAnsi="Times New Roman"/>
                <w:kern w:val="0"/>
              </w:rPr>
              <w:t>D</w:t>
            </w:r>
            <w:r>
              <w:rPr>
                <w:rFonts w:hint="eastAsia" w:ascii="宋体" w:hAnsi="宋体"/>
                <w:kern w:val="0"/>
              </w:rPr>
              <w:t>≤</w:t>
            </w:r>
            <w:r>
              <w:rPr>
                <w:rFonts w:ascii="Times New Roman" w:hAnsi="Times New Roman"/>
                <w:kern w:val="0"/>
              </w:rPr>
              <w:t>0.8</w:t>
            </w:r>
          </w:p>
        </w:tc>
        <w:tc>
          <w:tcPr>
            <w:tcW w:w="0" w:type="auto"/>
            <w:vMerge w:val="continue"/>
            <w:tcBorders>
              <w:top w:val="single" w:color="auto" w:sz="4" w:space="0"/>
              <w:bottom w:val="single" w:color="auto" w:sz="8" w:space="0"/>
              <w:right w:val="single" w:color="auto" w:sz="8" w:space="0"/>
              <w:tl2br w:val="nil"/>
              <w:tr2bl w:val="nil"/>
            </w:tcBorders>
            <w:vAlign w:val="center"/>
          </w:tcPr>
          <w:p w14:paraId="1A7BD1CC">
            <w:pPr>
              <w:widowControl/>
              <w:adjustRightInd/>
              <w:spacing w:line="240" w:lineRule="auto"/>
              <w:jc w:val="left"/>
              <w:rPr>
                <w:color w:val="FF0000"/>
                <w:kern w:val="0"/>
              </w:rPr>
            </w:pPr>
          </w:p>
        </w:tc>
      </w:tr>
    </w:tbl>
    <w:p w14:paraId="4E15030C">
      <w:pPr>
        <w:autoSpaceDE w:val="0"/>
        <w:autoSpaceDN w:val="0"/>
        <w:spacing w:line="360" w:lineRule="auto"/>
        <w:ind w:firstLine="420" w:firstLineChars="200"/>
        <w:rPr>
          <w:rFonts w:ascii="宋体" w:hAnsi="宋体"/>
          <w:bCs/>
        </w:rPr>
      </w:pPr>
      <w:r>
        <w:rPr>
          <w:rFonts w:hint="eastAsia" w:ascii="宋体" w:hAnsi="宋体"/>
          <w:bCs/>
        </w:rPr>
        <w:t>注：等级各相关技术指标不属于同一级时，以单项指标低的定等级。</w:t>
      </w:r>
    </w:p>
    <w:p w14:paraId="66E38AFA">
      <w:pPr>
        <w:numPr>
          <w:ilvl w:val="2"/>
          <w:numId w:val="2"/>
        </w:numPr>
        <w:spacing w:before="156" w:beforeLines="50" w:after="156" w:afterLines="50"/>
        <w:outlineLvl w:val="1"/>
        <w:rPr>
          <w:rFonts w:ascii="黑体" w:hAnsi="Times New Roman" w:eastAsia="黑体"/>
        </w:rPr>
      </w:pPr>
      <w:bookmarkStart w:id="112" w:name="_Toc47338524"/>
      <w:bookmarkStart w:id="113" w:name="_Toc47940663"/>
      <w:bookmarkStart w:id="114" w:name="_Toc229325414"/>
      <w:bookmarkStart w:id="115" w:name="_Toc50365878"/>
      <w:r>
        <w:rPr>
          <w:rFonts w:hint="eastAsia" w:ascii="黑体" w:hAnsi="Times New Roman" w:eastAsia="黑体"/>
        </w:rPr>
        <w:t>出</w:t>
      </w:r>
      <w:r>
        <w:rPr>
          <w:rFonts w:ascii="黑体" w:hAnsi="Times New Roman" w:eastAsia="黑体"/>
        </w:rPr>
        <w:t>圃</w:t>
      </w:r>
      <w:r>
        <w:rPr>
          <w:rFonts w:hint="eastAsia" w:ascii="黑体" w:hAnsi="Times New Roman" w:eastAsia="黑体"/>
          <w:lang w:val="en-US" w:eastAsia="zh-CN"/>
        </w:rPr>
        <w:t>及</w:t>
      </w:r>
      <w:r>
        <w:rPr>
          <w:rFonts w:hint="eastAsia" w:ascii="黑体" w:hAnsi="Times New Roman" w:eastAsia="黑体"/>
        </w:rPr>
        <w:t>运输</w:t>
      </w:r>
      <w:bookmarkEnd w:id="112"/>
      <w:bookmarkEnd w:id="113"/>
      <w:bookmarkEnd w:id="114"/>
      <w:bookmarkEnd w:id="115"/>
    </w:p>
    <w:p w14:paraId="37837A43">
      <w:pPr>
        <w:autoSpaceDE w:val="0"/>
        <w:autoSpaceDN w:val="0"/>
        <w:ind w:firstLine="420" w:firstLineChars="200"/>
        <w:rPr>
          <w:rFonts w:ascii="Times New Roman" w:hAnsi="Times New Roman"/>
        </w:rPr>
      </w:pPr>
      <w:r>
        <w:rPr>
          <w:rFonts w:hint="eastAsia" w:ascii="Times New Roman" w:hAnsi="Times New Roman"/>
        </w:rPr>
        <w:t>Ⅰ级和Ⅱ级苗具备林草种子生产经营许可证、产地检疫合格证/植物检疫证书、苗木标签和使用说明后出圃。标签和使用说明制作参照LY/T 2290规定执行。起苗、包装、运输执行GB/T 6001规定。</w:t>
      </w:r>
    </w:p>
    <w:p w14:paraId="12A0B154">
      <w:pPr>
        <w:numPr>
          <w:ilvl w:val="1"/>
          <w:numId w:val="2"/>
        </w:numPr>
        <w:spacing w:before="312" w:beforeLines="100" w:after="312" w:afterLines="100"/>
        <w:outlineLvl w:val="0"/>
        <w:rPr>
          <w:rFonts w:ascii="黑体" w:hAnsi="Times New Roman" w:eastAsia="黑体"/>
        </w:rPr>
      </w:pPr>
      <w:bookmarkStart w:id="116" w:name="_Toc63146678"/>
      <w:bookmarkStart w:id="117" w:name="_Toc240535947"/>
      <w:bookmarkStart w:id="118" w:name="_Toc40695260"/>
      <w:bookmarkStart w:id="119" w:name="_Toc50365879"/>
      <w:bookmarkStart w:id="120" w:name="_Toc63146630"/>
      <w:bookmarkStart w:id="121" w:name="_Toc229325415"/>
      <w:bookmarkStart w:id="122" w:name="_Toc33536635"/>
      <w:r>
        <w:rPr>
          <w:rFonts w:hint="eastAsia" w:ascii="黑体" w:hAnsi="Times New Roman" w:eastAsia="黑体"/>
        </w:rPr>
        <w:t>造林</w:t>
      </w:r>
      <w:bookmarkEnd w:id="116"/>
      <w:bookmarkEnd w:id="117"/>
      <w:bookmarkEnd w:id="118"/>
      <w:bookmarkEnd w:id="119"/>
      <w:bookmarkEnd w:id="120"/>
      <w:bookmarkEnd w:id="121"/>
      <w:bookmarkEnd w:id="122"/>
    </w:p>
    <w:p w14:paraId="44D20236">
      <w:pPr>
        <w:numPr>
          <w:ilvl w:val="2"/>
          <w:numId w:val="2"/>
        </w:numPr>
        <w:spacing w:before="156" w:beforeLines="50" w:after="156" w:afterLines="50"/>
        <w:outlineLvl w:val="1"/>
        <w:rPr>
          <w:rFonts w:ascii="黑体" w:hAnsi="Times New Roman" w:eastAsia="黑体"/>
        </w:rPr>
      </w:pPr>
      <w:bookmarkStart w:id="123" w:name="_Toc40695261"/>
      <w:bookmarkStart w:id="124" w:name="_Toc33536636"/>
      <w:bookmarkStart w:id="125" w:name="_Toc47338527"/>
      <w:bookmarkStart w:id="126" w:name="_Toc229325416"/>
      <w:bookmarkStart w:id="127" w:name="_Toc63146632"/>
      <w:bookmarkStart w:id="128" w:name="_Toc50365881"/>
      <w:r>
        <w:rPr>
          <w:rFonts w:ascii="黑体" w:hAnsi="Times New Roman" w:eastAsia="黑体"/>
        </w:rPr>
        <w:t>林</w:t>
      </w:r>
      <w:r>
        <w:rPr>
          <w:rFonts w:hint="eastAsia" w:ascii="黑体" w:hAnsi="Times New Roman" w:eastAsia="黑体"/>
        </w:rPr>
        <w:t>地</w:t>
      </w:r>
      <w:bookmarkEnd w:id="123"/>
      <w:bookmarkEnd w:id="124"/>
      <w:r>
        <w:rPr>
          <w:rFonts w:hint="eastAsia" w:ascii="黑体" w:hAnsi="Times New Roman" w:eastAsia="黑体"/>
        </w:rPr>
        <w:t>选择</w:t>
      </w:r>
      <w:bookmarkEnd w:id="125"/>
      <w:bookmarkEnd w:id="126"/>
      <w:bookmarkEnd w:id="127"/>
      <w:bookmarkEnd w:id="128"/>
    </w:p>
    <w:p w14:paraId="31D68A19">
      <w:pPr>
        <w:autoSpaceDE w:val="0"/>
        <w:autoSpaceDN w:val="0"/>
        <w:ind w:firstLine="420" w:firstLineChars="200"/>
        <w:rPr>
          <w:rFonts w:ascii="宋体" w:hAnsi="Times New Roman"/>
        </w:rPr>
      </w:pPr>
      <w:r>
        <w:rPr>
          <w:rFonts w:ascii="宋体" w:hAnsi="Times New Roman"/>
        </w:rPr>
        <w:t>宜选择</w:t>
      </w:r>
      <w:r>
        <w:rPr>
          <w:rFonts w:hint="eastAsia" w:ascii="宋体" w:hAnsi="Times New Roman"/>
        </w:rPr>
        <w:t xml:space="preserve">北纬24°以南，年降水量 </w:t>
      </w:r>
      <w:r>
        <w:rPr>
          <w:rFonts w:ascii="宋体" w:hAnsi="Times New Roman"/>
        </w:rPr>
        <w:t>1</w:t>
      </w:r>
      <w:r>
        <w:rPr>
          <w:rFonts w:hint="eastAsia" w:ascii="宋体" w:hAnsi="Times New Roman"/>
        </w:rPr>
        <w:t>0</w:t>
      </w:r>
      <w:r>
        <w:rPr>
          <w:rFonts w:ascii="宋体" w:hAnsi="Times New Roman"/>
        </w:rPr>
        <w:t>00 mm</w:t>
      </w:r>
      <w:r>
        <w:rPr>
          <w:rFonts w:hint="eastAsia" w:ascii="宋体" w:hAnsi="Times New Roman"/>
        </w:rPr>
        <w:t>以上，</w:t>
      </w:r>
      <w:r>
        <w:rPr>
          <w:rFonts w:ascii="宋体" w:hAnsi="Times New Roman"/>
        </w:rPr>
        <w:t>年平均气温</w:t>
      </w:r>
      <w:r>
        <w:rPr>
          <w:rFonts w:hint="eastAsia" w:ascii="宋体" w:hAnsi="Times New Roman"/>
        </w:rPr>
        <w:t>18</w:t>
      </w:r>
      <w:r>
        <w:rPr>
          <w:rFonts w:ascii="宋体" w:hAnsi="Times New Roman"/>
        </w:rPr>
        <w:t xml:space="preserve"> ℃</w:t>
      </w:r>
      <w:r>
        <w:rPr>
          <w:rFonts w:hint="eastAsia" w:ascii="宋体" w:hAnsi="Times New Roman"/>
        </w:rPr>
        <w:t>以上，</w:t>
      </w:r>
      <w:r>
        <w:rPr>
          <w:rFonts w:ascii="宋体" w:hAnsi="Times New Roman"/>
        </w:rPr>
        <w:t>海拔800</w:t>
      </w:r>
      <w:r>
        <w:rPr>
          <w:rFonts w:hint="eastAsia" w:ascii="宋体" w:hAnsi="Times New Roman"/>
        </w:rPr>
        <w:t xml:space="preserve"> </w:t>
      </w:r>
      <w:r>
        <w:rPr>
          <w:rFonts w:ascii="宋体" w:hAnsi="Times New Roman"/>
        </w:rPr>
        <w:t>m以下</w:t>
      </w:r>
      <w:r>
        <w:rPr>
          <w:rFonts w:hint="eastAsia" w:ascii="宋体" w:hAnsi="Times New Roman"/>
        </w:rPr>
        <w:t>，</w:t>
      </w:r>
      <w:r>
        <w:rPr>
          <w:rFonts w:ascii="宋体" w:hAnsi="Times New Roman"/>
        </w:rPr>
        <w:t>土层厚度</w:t>
      </w:r>
      <w:r>
        <w:rPr>
          <w:rFonts w:hint="eastAsia" w:ascii="宋体" w:hAnsi="Times New Roman"/>
        </w:rPr>
        <w:t>5</w:t>
      </w:r>
      <w:r>
        <w:rPr>
          <w:rFonts w:ascii="宋体" w:hAnsi="Times New Roman"/>
        </w:rPr>
        <w:t>0</w:t>
      </w:r>
      <w:r>
        <w:rPr>
          <w:rFonts w:hint="eastAsia" w:ascii="宋体" w:hAnsi="Times New Roman"/>
        </w:rPr>
        <w:t xml:space="preserve"> </w:t>
      </w:r>
      <w:r>
        <w:rPr>
          <w:rFonts w:ascii="宋体" w:hAnsi="Times New Roman"/>
        </w:rPr>
        <w:t>cm以上</w:t>
      </w:r>
      <w:r>
        <w:rPr>
          <w:rFonts w:hint="eastAsia" w:ascii="宋体" w:hAnsi="Times New Roman"/>
        </w:rPr>
        <w:t>及质地疏松、土壤肥沃、排水良好的</w:t>
      </w:r>
      <w:r>
        <w:rPr>
          <w:rFonts w:ascii="宋体" w:hAnsi="Times New Roman"/>
        </w:rPr>
        <w:t>坡地或谷地</w:t>
      </w:r>
      <w:r>
        <w:rPr>
          <w:rFonts w:hint="eastAsia" w:ascii="宋体" w:hAnsi="Times New Roman"/>
        </w:rPr>
        <w:t>。</w:t>
      </w:r>
    </w:p>
    <w:p w14:paraId="50D17879">
      <w:pPr>
        <w:numPr>
          <w:ilvl w:val="2"/>
          <w:numId w:val="2"/>
        </w:numPr>
        <w:spacing w:before="156" w:beforeLines="50" w:after="156" w:afterLines="50"/>
        <w:outlineLvl w:val="1"/>
        <w:rPr>
          <w:rFonts w:ascii="黑体" w:hAnsi="Times New Roman" w:eastAsia="黑体"/>
        </w:rPr>
      </w:pPr>
      <w:bookmarkStart w:id="129" w:name="_Toc229325417"/>
      <w:r>
        <w:rPr>
          <w:rFonts w:ascii="黑体" w:hAnsi="Times New Roman" w:eastAsia="黑体"/>
        </w:rPr>
        <w:t>造林配置</w:t>
      </w:r>
      <w:bookmarkEnd w:id="129"/>
    </w:p>
    <w:p w14:paraId="7D862A32">
      <w:pPr>
        <w:autoSpaceDE w:val="0"/>
        <w:autoSpaceDN w:val="0"/>
        <w:ind w:firstLine="420" w:firstLineChars="200"/>
        <w:rPr>
          <w:rFonts w:ascii="宋体" w:hAnsi="Times New Roman"/>
        </w:rPr>
      </w:pPr>
      <w:r>
        <w:rPr>
          <w:rFonts w:hint="eastAsia" w:ascii="宋体" w:hAnsi="Times New Roman"/>
        </w:rPr>
        <w:t>可营造纯林和混交林。</w:t>
      </w:r>
      <w:r>
        <w:rPr>
          <w:rFonts w:hint="eastAsia" w:ascii="宋体" w:hAnsi="宋体" w:cs="宋体"/>
        </w:rPr>
        <w:t>宜与</w:t>
      </w:r>
      <w:r>
        <w:rPr>
          <w:rFonts w:hint="eastAsia" w:ascii="Times New Roman" w:hAnsi="Times New Roman"/>
        </w:rPr>
        <w:t>桉树（</w:t>
      </w:r>
      <w:r>
        <w:rPr>
          <w:rFonts w:hint="eastAsia" w:ascii="Times New Roman" w:hAnsi="Times New Roman"/>
          <w:i/>
          <w:iCs/>
        </w:rPr>
        <w:t>Eucalyptus</w:t>
      </w:r>
      <w:r>
        <w:rPr>
          <w:rFonts w:hint="eastAsia" w:ascii="Times New Roman" w:hAnsi="Times New Roman"/>
        </w:rPr>
        <w:t xml:space="preserve"> spp.）、</w:t>
      </w:r>
      <w:r>
        <w:rPr>
          <w:rFonts w:hint="eastAsia" w:ascii="宋体" w:hAnsi="宋体" w:cs="宋体"/>
        </w:rPr>
        <w:t>柚木（</w:t>
      </w:r>
      <w:r>
        <w:rPr>
          <w:rFonts w:hint="eastAsia" w:ascii="Times New Roman" w:hAnsi="Times New Roman"/>
          <w:i/>
          <w:iCs/>
        </w:rPr>
        <w:t>T</w:t>
      </w:r>
      <w:r>
        <w:rPr>
          <w:rFonts w:ascii="Times New Roman" w:hAnsi="Times New Roman"/>
          <w:i/>
          <w:iCs/>
        </w:rPr>
        <w:t>ectona grandis</w:t>
      </w:r>
      <w:r>
        <w:rPr>
          <w:rFonts w:hint="eastAsia" w:ascii="宋体" w:hAnsi="宋体" w:cs="宋体"/>
        </w:rPr>
        <w:t>）、松树（</w:t>
      </w:r>
      <w:r>
        <w:rPr>
          <w:rFonts w:hint="eastAsia" w:ascii="Times New Roman" w:hAnsi="Times New Roman"/>
          <w:i/>
          <w:iCs/>
        </w:rPr>
        <w:t xml:space="preserve">Pinus </w:t>
      </w:r>
      <w:r>
        <w:rPr>
          <w:rFonts w:hint="eastAsia" w:ascii="Times New Roman" w:hAnsi="Times New Roman"/>
        </w:rPr>
        <w:t>spp.</w:t>
      </w:r>
      <w:r>
        <w:rPr>
          <w:rFonts w:hint="eastAsia" w:ascii="宋体" w:hAnsi="宋体" w:cs="宋体"/>
        </w:rPr>
        <w:t>）等树种混交。可采用带状混交，适宜比例为坡垒（</w:t>
      </w:r>
      <w:r>
        <w:rPr>
          <w:rFonts w:hint="eastAsia" w:ascii="宋体" w:hAnsi="Times New Roman"/>
        </w:rPr>
        <w:t>1</w:t>
      </w:r>
      <w:r>
        <w:rPr>
          <w:rFonts w:hint="eastAsia" w:ascii="宋体" w:hAnsi="宋体" w:cs="宋体"/>
        </w:rPr>
        <w:t>行～</w:t>
      </w:r>
      <w:r>
        <w:rPr>
          <w:rFonts w:hint="eastAsia" w:ascii="宋体" w:hAnsi="Times New Roman"/>
        </w:rPr>
        <w:t>2</w:t>
      </w:r>
      <w:r>
        <w:rPr>
          <w:rFonts w:hint="eastAsia" w:ascii="宋体" w:hAnsi="宋体" w:cs="宋体"/>
        </w:rPr>
        <w:t>行）</w:t>
      </w:r>
      <w:r>
        <w:rPr>
          <w:rFonts w:hint="eastAsia" w:ascii="宋体" w:hAnsi="Times New Roman"/>
        </w:rPr>
        <w:t>:</w:t>
      </w:r>
      <w:r>
        <w:rPr>
          <w:rFonts w:hint="eastAsia" w:ascii="宋体" w:hAnsi="宋体" w:cs="宋体"/>
        </w:rPr>
        <w:t>混交树种（</w:t>
      </w:r>
      <w:r>
        <w:rPr>
          <w:rFonts w:hint="eastAsia" w:ascii="宋体" w:hAnsi="Times New Roman"/>
        </w:rPr>
        <w:t>1</w:t>
      </w:r>
      <w:r>
        <w:rPr>
          <w:rFonts w:hint="eastAsia" w:ascii="宋体" w:hAnsi="宋体" w:cs="宋体"/>
        </w:rPr>
        <w:t>行～</w:t>
      </w:r>
      <w:r>
        <w:rPr>
          <w:rFonts w:hint="eastAsia" w:ascii="宋体" w:hAnsi="Times New Roman"/>
        </w:rPr>
        <w:t>2</w:t>
      </w:r>
      <w:r>
        <w:rPr>
          <w:rFonts w:hint="eastAsia" w:ascii="宋体" w:hAnsi="宋体" w:cs="宋体"/>
        </w:rPr>
        <w:t>行）；</w:t>
      </w:r>
      <w:r>
        <w:rPr>
          <w:rFonts w:ascii="Times New Roman" w:hAnsi="Times New Roman"/>
        </w:rPr>
        <w:t>也可采用</w:t>
      </w:r>
      <w:r>
        <w:rPr>
          <w:rFonts w:hint="eastAsia" w:ascii="Times New Roman" w:hAnsi="Times New Roman"/>
        </w:rPr>
        <w:t>块</w:t>
      </w:r>
      <w:r>
        <w:rPr>
          <w:rFonts w:ascii="Times New Roman" w:hAnsi="Times New Roman"/>
        </w:rPr>
        <w:t>状方式混交。</w:t>
      </w:r>
      <w:r>
        <w:rPr>
          <w:rFonts w:hint="eastAsia" w:ascii="宋体" w:hAnsi="Times New Roman"/>
        </w:rPr>
        <w:t>种植点配置可选用方形、品字形或随机配置。</w:t>
      </w:r>
    </w:p>
    <w:p w14:paraId="5C134D85">
      <w:pPr>
        <w:numPr>
          <w:ilvl w:val="2"/>
          <w:numId w:val="2"/>
        </w:numPr>
        <w:spacing w:before="156" w:beforeLines="50" w:after="156" w:afterLines="50"/>
        <w:outlineLvl w:val="1"/>
        <w:rPr>
          <w:rFonts w:ascii="黑体" w:hAnsi="Times New Roman" w:eastAsia="黑体"/>
        </w:rPr>
      </w:pPr>
      <w:bookmarkStart w:id="130" w:name="_Toc229325418"/>
      <w:r>
        <w:rPr>
          <w:rFonts w:hint="eastAsia" w:ascii="黑体" w:hAnsi="Times New Roman" w:eastAsia="黑体"/>
        </w:rPr>
        <w:t>整地</w:t>
      </w:r>
      <w:bookmarkEnd w:id="130"/>
    </w:p>
    <w:p w14:paraId="41B7F5DC">
      <w:pPr>
        <w:numPr>
          <w:ilvl w:val="3"/>
          <w:numId w:val="2"/>
        </w:numPr>
        <w:spacing w:before="156" w:beforeLines="50" w:after="156" w:afterLines="50"/>
        <w:outlineLvl w:val="2"/>
        <w:rPr>
          <w:rFonts w:ascii="黑体" w:hAnsi="Times New Roman" w:eastAsia="黑体"/>
        </w:rPr>
      </w:pPr>
      <w:r>
        <w:rPr>
          <w:rFonts w:hint="eastAsia" w:ascii="黑体" w:hAnsi="Times New Roman" w:eastAsia="黑体"/>
        </w:rPr>
        <w:t>林地准备</w:t>
      </w:r>
    </w:p>
    <w:p w14:paraId="7CD8EDCF">
      <w:pPr>
        <w:autoSpaceDE w:val="0"/>
        <w:autoSpaceDN w:val="0"/>
        <w:ind w:firstLine="420" w:firstLineChars="200"/>
        <w:rPr>
          <w:rFonts w:ascii="Times New Roman" w:hAnsi="Times New Roman"/>
        </w:rPr>
      </w:pPr>
      <w:r>
        <w:rPr>
          <w:rFonts w:hint="eastAsia" w:ascii="宋体" w:hAnsi="宋体"/>
        </w:rPr>
        <w:t>造林</w:t>
      </w:r>
      <w:r>
        <w:rPr>
          <w:rFonts w:ascii="Times New Roman" w:hAnsi="Times New Roman"/>
        </w:rPr>
        <w:t>前1个月～2个月</w:t>
      </w:r>
      <w:r>
        <w:rPr>
          <w:rFonts w:ascii="宋体" w:hAnsi="宋体"/>
        </w:rPr>
        <w:t>，清除影响苗木栽植和生长的杂灌草。</w:t>
      </w:r>
    </w:p>
    <w:p w14:paraId="3BDFA667">
      <w:pPr>
        <w:numPr>
          <w:ilvl w:val="3"/>
          <w:numId w:val="2"/>
        </w:numPr>
        <w:spacing w:before="156" w:beforeLines="50" w:after="156" w:afterLines="50"/>
        <w:outlineLvl w:val="2"/>
        <w:rPr>
          <w:rFonts w:ascii="黑体" w:hAnsi="Times New Roman" w:eastAsia="黑体"/>
        </w:rPr>
      </w:pPr>
      <w:r>
        <w:rPr>
          <w:rFonts w:hint="eastAsia" w:ascii="黑体" w:hAnsi="Times New Roman" w:eastAsia="黑体"/>
        </w:rPr>
        <w:t>整地方式</w:t>
      </w:r>
    </w:p>
    <w:p w14:paraId="65F3E6AF">
      <w:pPr>
        <w:autoSpaceDE w:val="0"/>
        <w:autoSpaceDN w:val="0"/>
        <w:spacing w:before="156" w:beforeLines="50" w:after="156" w:afterLines="50"/>
        <w:ind w:firstLine="420" w:firstLineChars="200"/>
        <w:rPr>
          <w:rFonts w:ascii="宋体" w:hAnsi="宋体"/>
        </w:rPr>
      </w:pPr>
      <w:r>
        <w:rPr>
          <w:rFonts w:hint="eastAsia" w:ascii="宋体" w:hAnsi="宋体"/>
        </w:rPr>
        <w:t>按照</w:t>
      </w:r>
      <w:r>
        <w:rPr>
          <w:rFonts w:ascii="Times New Roman" w:hAnsi="Times New Roman"/>
        </w:rPr>
        <w:t>GB/T 15776</w:t>
      </w:r>
      <w:r>
        <w:rPr>
          <w:rFonts w:hint="eastAsia" w:ascii="宋体" w:hAnsi="宋体"/>
        </w:rPr>
        <w:t>规定执行</w:t>
      </w:r>
      <w:r>
        <w:rPr>
          <w:rFonts w:ascii="宋体" w:hAnsi="宋体"/>
        </w:rPr>
        <w:t>。</w:t>
      </w:r>
      <w:r>
        <w:rPr>
          <w:rFonts w:hint="eastAsia" w:ascii="宋体" w:hAnsi="宋体"/>
        </w:rPr>
        <w:t>穴状整地适用于各类立地条件；带状整地适用于山地缓坡、丘陵，沿等高线进行。</w:t>
      </w:r>
    </w:p>
    <w:p w14:paraId="4EF75517">
      <w:pPr>
        <w:numPr>
          <w:ilvl w:val="3"/>
          <w:numId w:val="2"/>
        </w:numPr>
        <w:spacing w:before="156" w:beforeLines="50" w:after="156" w:afterLines="50"/>
        <w:outlineLvl w:val="2"/>
        <w:rPr>
          <w:rFonts w:ascii="黑体" w:hAnsi="Times New Roman" w:eastAsia="黑体"/>
        </w:rPr>
      </w:pPr>
      <w:bookmarkStart w:id="131" w:name="OLE_LINK79"/>
      <w:bookmarkStart w:id="132" w:name="OLE_LINK80"/>
      <w:r>
        <w:rPr>
          <w:rFonts w:hint="eastAsia" w:ascii="黑体" w:hAnsi="Times New Roman" w:eastAsia="黑体"/>
        </w:rPr>
        <w:t>种植密度</w:t>
      </w:r>
    </w:p>
    <w:p w14:paraId="51B507AC">
      <w:pPr>
        <w:autoSpaceDE w:val="0"/>
        <w:autoSpaceDN w:val="0"/>
        <w:spacing w:before="156" w:beforeLines="50" w:after="156" w:afterLines="50"/>
        <w:ind w:firstLine="420" w:firstLineChars="200"/>
        <w:rPr>
          <w:rFonts w:ascii="Times New Roman" w:hAnsi="Times New Roman"/>
        </w:rPr>
      </w:pPr>
      <w:r>
        <w:rPr>
          <w:rFonts w:ascii="Times New Roman" w:hAnsi="Times New Roman"/>
        </w:rPr>
        <w:t>株行距为</w:t>
      </w:r>
      <w:r>
        <w:rPr>
          <w:rFonts w:hint="eastAsia" w:ascii="Times New Roman" w:hAnsi="Times New Roman"/>
        </w:rPr>
        <w:t>（</w:t>
      </w:r>
      <w:r>
        <w:rPr>
          <w:rFonts w:ascii="Times New Roman" w:hAnsi="Times New Roman"/>
        </w:rPr>
        <w:t>2～3</w:t>
      </w:r>
      <w:r>
        <w:rPr>
          <w:rFonts w:hint="eastAsia" w:ascii="Times New Roman" w:hAnsi="Times New Roman"/>
        </w:rPr>
        <w:t>）</w:t>
      </w:r>
      <w:r>
        <w:rPr>
          <w:rFonts w:ascii="Times New Roman" w:hAnsi="Times New Roman"/>
        </w:rPr>
        <w:t>m</w:t>
      </w:r>
      <w:r>
        <w:rPr>
          <w:rFonts w:hint="eastAsia" w:ascii="Times New Roman" w:hAnsi="Times New Roman"/>
        </w:rPr>
        <w:t xml:space="preserve"> </w:t>
      </w:r>
      <w:r>
        <w:rPr>
          <w:rFonts w:ascii="Times New Roman" w:hAnsi="Times New Roman"/>
          <w:szCs w:val="18"/>
        </w:rPr>
        <w:t>×</w:t>
      </w:r>
      <w:r>
        <w:rPr>
          <w:rFonts w:ascii="Times New Roman" w:hAnsi="Times New Roman"/>
        </w:rPr>
        <w:t xml:space="preserve"> 3 m。</w:t>
      </w:r>
    </w:p>
    <w:bookmarkEnd w:id="131"/>
    <w:bookmarkEnd w:id="132"/>
    <w:p w14:paraId="20F4A5AA">
      <w:pPr>
        <w:numPr>
          <w:ilvl w:val="3"/>
          <w:numId w:val="2"/>
        </w:numPr>
        <w:spacing w:before="156" w:beforeLines="50" w:after="156" w:afterLines="50"/>
        <w:outlineLvl w:val="2"/>
        <w:rPr>
          <w:rFonts w:ascii="黑体" w:hAnsi="Times New Roman" w:eastAsia="黑体"/>
        </w:rPr>
      </w:pPr>
      <w:r>
        <w:rPr>
          <w:rFonts w:hint="eastAsia" w:ascii="黑体" w:hAnsi="Times New Roman" w:eastAsia="黑体"/>
        </w:rPr>
        <w:t>植穴规格</w:t>
      </w:r>
    </w:p>
    <w:p w14:paraId="54619234">
      <w:pPr>
        <w:autoSpaceDE w:val="0"/>
        <w:autoSpaceDN w:val="0"/>
        <w:ind w:firstLine="420" w:firstLineChars="200"/>
        <w:rPr>
          <w:rFonts w:ascii="Times New Roman" w:hAnsi="Times New Roman"/>
        </w:rPr>
      </w:pPr>
      <w:bookmarkStart w:id="133" w:name="OLE_LINK81"/>
      <w:r>
        <w:rPr>
          <w:rFonts w:hint="eastAsia" w:ascii="宋体" w:hAnsi="宋体"/>
        </w:rPr>
        <w:t>植穴规格为</w:t>
      </w:r>
      <w:r>
        <w:rPr>
          <w:rFonts w:ascii="Times New Roman" w:hAnsi="Times New Roman"/>
        </w:rPr>
        <w:t xml:space="preserve">（40～50）cm </w:t>
      </w:r>
      <w:bookmarkStart w:id="134" w:name="OLE_LINK20"/>
      <w:bookmarkStart w:id="135" w:name="OLE_LINK19"/>
      <w:r>
        <w:rPr>
          <w:rFonts w:ascii="Times New Roman" w:hAnsi="Times New Roman"/>
          <w:szCs w:val="18"/>
        </w:rPr>
        <w:t>×</w:t>
      </w:r>
      <w:bookmarkEnd w:id="134"/>
      <w:bookmarkEnd w:id="135"/>
      <w:r>
        <w:rPr>
          <w:rFonts w:ascii="Times New Roman" w:hAnsi="Times New Roman"/>
        </w:rPr>
        <w:t xml:space="preserve">（40～50）cm </w:t>
      </w:r>
      <w:r>
        <w:rPr>
          <w:rFonts w:ascii="Times New Roman" w:hAnsi="Times New Roman"/>
          <w:szCs w:val="18"/>
        </w:rPr>
        <w:t>×</w:t>
      </w:r>
      <w:r>
        <w:rPr>
          <w:rFonts w:ascii="Times New Roman" w:hAnsi="Times New Roman"/>
        </w:rPr>
        <w:t>（30～40）cm。</w:t>
      </w:r>
    </w:p>
    <w:bookmarkEnd w:id="133"/>
    <w:p w14:paraId="391FF6BC">
      <w:pPr>
        <w:numPr>
          <w:ilvl w:val="2"/>
          <w:numId w:val="2"/>
        </w:numPr>
        <w:spacing w:before="156" w:beforeLines="50" w:after="156" w:afterLines="50"/>
        <w:outlineLvl w:val="1"/>
        <w:rPr>
          <w:rFonts w:ascii="黑体" w:hAnsi="Times New Roman" w:eastAsia="黑体"/>
        </w:rPr>
      </w:pPr>
      <w:bookmarkStart w:id="136" w:name="_Toc229325419"/>
      <w:r>
        <w:rPr>
          <w:rFonts w:ascii="黑体" w:hAnsi="Times New Roman" w:eastAsia="黑体"/>
        </w:rPr>
        <w:t>基肥</w:t>
      </w:r>
      <w:bookmarkEnd w:id="136"/>
    </w:p>
    <w:p w14:paraId="13EC9D07">
      <w:pPr>
        <w:autoSpaceDE w:val="0"/>
        <w:autoSpaceDN w:val="0"/>
        <w:ind w:firstLine="420" w:firstLineChars="200"/>
        <w:rPr>
          <w:rFonts w:ascii="宋体" w:hAnsi="宋体"/>
        </w:rPr>
      </w:pPr>
      <w:r>
        <w:rPr>
          <w:rFonts w:ascii="宋体" w:hAnsi="宋体"/>
        </w:rPr>
        <w:t>穴施有机肥</w:t>
      </w:r>
      <w:r>
        <w:rPr>
          <w:rFonts w:hint="eastAsia" w:ascii="Times New Roman" w:hAnsi="Times New Roman"/>
        </w:rPr>
        <w:t xml:space="preserve">1.0 </w:t>
      </w:r>
      <w:r>
        <w:rPr>
          <w:rFonts w:ascii="Times New Roman" w:hAnsi="Times New Roman"/>
        </w:rPr>
        <w:t>kg</w:t>
      </w:r>
      <w:r>
        <w:rPr>
          <w:rFonts w:hint="eastAsia" w:ascii="宋体" w:hAnsi="宋体"/>
        </w:rPr>
        <w:t>～</w:t>
      </w:r>
      <w:r>
        <w:rPr>
          <w:rFonts w:hint="eastAsia" w:ascii="Times New Roman" w:hAnsi="Times New Roman"/>
        </w:rPr>
        <w:t>1</w:t>
      </w:r>
      <w:r>
        <w:rPr>
          <w:rFonts w:ascii="Times New Roman" w:hAnsi="Times New Roman"/>
        </w:rPr>
        <w:t>.</w:t>
      </w:r>
      <w:r>
        <w:rPr>
          <w:rFonts w:hint="eastAsia" w:ascii="Times New Roman" w:hAnsi="Times New Roman"/>
        </w:rPr>
        <w:t xml:space="preserve">5 </w:t>
      </w:r>
      <w:r>
        <w:rPr>
          <w:rFonts w:ascii="Times New Roman" w:hAnsi="Times New Roman"/>
        </w:rPr>
        <w:t>kg</w:t>
      </w:r>
      <w:r>
        <w:rPr>
          <w:rFonts w:hint="eastAsia" w:ascii="宋体" w:hAnsi="宋体"/>
        </w:rPr>
        <w:t>、</w:t>
      </w:r>
      <w:r>
        <w:rPr>
          <w:rFonts w:ascii="宋体" w:hAnsi="宋体"/>
        </w:rPr>
        <w:t>钙镁磷肥</w:t>
      </w:r>
      <w:r>
        <w:rPr>
          <w:rFonts w:hint="eastAsia" w:ascii="宋体" w:hAnsi="宋体"/>
        </w:rPr>
        <w:t>（</w:t>
      </w:r>
      <w:r>
        <w:rPr>
          <w:rFonts w:ascii="Times New Roman" w:hAnsi="Times New Roman"/>
        </w:rPr>
        <w:t>P</w:t>
      </w:r>
      <w:r>
        <w:rPr>
          <w:rFonts w:ascii="Times New Roman" w:hAnsi="Times New Roman"/>
          <w:vertAlign w:val="subscript"/>
        </w:rPr>
        <w:t>2</w:t>
      </w:r>
      <w:r>
        <w:rPr>
          <w:rFonts w:ascii="Times New Roman" w:hAnsi="Times New Roman"/>
        </w:rPr>
        <w:t>O</w:t>
      </w:r>
      <w:r>
        <w:rPr>
          <w:rFonts w:ascii="Times New Roman" w:hAnsi="Times New Roman"/>
          <w:vertAlign w:val="subscript"/>
        </w:rPr>
        <w:t>5</w:t>
      </w:r>
      <w:r>
        <w:rPr>
          <w:rFonts w:hint="eastAsia" w:ascii="Times New Roman" w:hAnsi="Times New Roman"/>
        </w:rPr>
        <w:t xml:space="preserve"> 18%</w:t>
      </w:r>
      <w:r>
        <w:rPr>
          <w:rFonts w:hint="eastAsia" w:ascii="宋体" w:hAnsi="宋体"/>
        </w:rPr>
        <w:t>）</w:t>
      </w:r>
      <w:r>
        <w:rPr>
          <w:rFonts w:hint="eastAsia" w:ascii="Times New Roman" w:hAnsi="Times New Roman"/>
        </w:rPr>
        <w:t xml:space="preserve">0.5 </w:t>
      </w:r>
      <w:r>
        <w:rPr>
          <w:rFonts w:ascii="Times New Roman" w:hAnsi="Times New Roman"/>
        </w:rPr>
        <w:t>kg</w:t>
      </w:r>
      <w:r>
        <w:rPr>
          <w:rFonts w:hint="eastAsia" w:ascii="宋体" w:hAnsi="宋体"/>
        </w:rPr>
        <w:t>～</w:t>
      </w:r>
      <w:r>
        <w:rPr>
          <w:rFonts w:hint="eastAsia" w:ascii="Times New Roman" w:hAnsi="Times New Roman"/>
        </w:rPr>
        <w:t>1</w:t>
      </w:r>
      <w:r>
        <w:rPr>
          <w:rFonts w:ascii="Times New Roman" w:hAnsi="Times New Roman"/>
        </w:rPr>
        <w:t>.</w:t>
      </w:r>
      <w:r>
        <w:rPr>
          <w:rFonts w:hint="eastAsia" w:ascii="Times New Roman" w:hAnsi="Times New Roman"/>
        </w:rPr>
        <w:t xml:space="preserve">0 </w:t>
      </w:r>
      <w:r>
        <w:rPr>
          <w:rFonts w:ascii="Times New Roman" w:hAnsi="Times New Roman"/>
        </w:rPr>
        <w:t>kg</w:t>
      </w:r>
      <w:r>
        <w:rPr>
          <w:rFonts w:ascii="Times New Roman" w:hAnsi="Times New Roman"/>
          <w:color w:val="000000"/>
        </w:rPr>
        <w:t>或</w:t>
      </w:r>
      <w:r>
        <w:rPr>
          <w:rFonts w:hint="eastAsia" w:ascii="Times New Roman" w:hAnsi="Times New Roman"/>
        </w:rPr>
        <w:t>NPK复合肥</w:t>
      </w:r>
      <w:r>
        <w:rPr>
          <w:rFonts w:hint="eastAsia" w:ascii="Times New Roman" w:hAnsi="Times New Roman"/>
          <w:color w:val="000000"/>
        </w:rPr>
        <w:t>（总养分</w:t>
      </w:r>
      <w:r>
        <w:rPr>
          <w:rFonts w:hint="eastAsia" w:ascii="宋体" w:hAnsi="宋体" w:cs="宋体"/>
        </w:rPr>
        <w:t>≥</w:t>
      </w:r>
      <w:r>
        <w:rPr>
          <w:rFonts w:ascii="Times New Roman" w:hAnsi="Times New Roman"/>
        </w:rPr>
        <w:t>45%</w:t>
      </w:r>
      <w:r>
        <w:rPr>
          <w:rFonts w:hint="eastAsia" w:ascii="Times New Roman" w:hAnsi="Times New Roman"/>
        </w:rPr>
        <w:t>）</w:t>
      </w:r>
      <w:r>
        <w:rPr>
          <w:rFonts w:ascii="Times New Roman" w:hAnsi="Times New Roman"/>
          <w:color w:val="000000"/>
        </w:rPr>
        <w:t>150g</w:t>
      </w:r>
      <w:r>
        <w:rPr>
          <w:rFonts w:ascii="Times New Roman" w:hAnsi="Times New Roman"/>
        </w:rPr>
        <w:t>～200</w:t>
      </w:r>
      <w:r>
        <w:rPr>
          <w:rFonts w:ascii="Times New Roman" w:hAnsi="Times New Roman"/>
          <w:color w:val="000000"/>
        </w:rPr>
        <w:t xml:space="preserve"> g</w:t>
      </w:r>
      <w:r>
        <w:rPr>
          <w:rFonts w:ascii="Times New Roman" w:hAnsi="Times New Roman"/>
        </w:rPr>
        <w:t>。</w:t>
      </w:r>
      <w:r>
        <w:rPr>
          <w:rFonts w:ascii="宋体" w:hAnsi="宋体"/>
        </w:rPr>
        <w:t>植穴内</w:t>
      </w:r>
      <w:r>
        <w:rPr>
          <w:rFonts w:hint="eastAsia" w:ascii="宋体" w:hAnsi="宋体" w:cs="宋体"/>
        </w:rPr>
        <w:t>回</w:t>
      </w:r>
      <w:r>
        <w:rPr>
          <w:rFonts w:ascii="Times New Roman" w:hAnsi="Times New Roman"/>
        </w:rPr>
        <w:t>填1/2～2/3表土，</w:t>
      </w:r>
      <w:r>
        <w:rPr>
          <w:rFonts w:hint="eastAsia" w:ascii="宋体" w:hAnsi="宋体" w:cs="宋体"/>
        </w:rPr>
        <w:t>基肥</w:t>
      </w:r>
      <w:r>
        <w:rPr>
          <w:rFonts w:ascii="宋体" w:hAnsi="宋体"/>
        </w:rPr>
        <w:t>入</w:t>
      </w:r>
      <w:r>
        <w:rPr>
          <w:rFonts w:hint="eastAsia" w:ascii="宋体" w:hAnsi="宋体" w:cs="宋体"/>
        </w:rPr>
        <w:t>穴</w:t>
      </w:r>
      <w:r>
        <w:rPr>
          <w:rFonts w:ascii="宋体" w:hAnsi="宋体"/>
        </w:rPr>
        <w:t>混匀，回土满穴成龟背形。</w:t>
      </w:r>
    </w:p>
    <w:p w14:paraId="2020C1BD">
      <w:pPr>
        <w:numPr>
          <w:ilvl w:val="2"/>
          <w:numId w:val="2"/>
        </w:numPr>
        <w:spacing w:before="156" w:beforeLines="50" w:after="156" w:afterLines="50"/>
        <w:outlineLvl w:val="1"/>
        <w:rPr>
          <w:rFonts w:ascii="黑体" w:hAnsi="Times New Roman" w:eastAsia="黑体"/>
        </w:rPr>
      </w:pPr>
      <w:bookmarkStart w:id="137" w:name="_Toc229325420"/>
      <w:r>
        <w:rPr>
          <w:rFonts w:hint="eastAsia" w:ascii="黑体" w:hAnsi="Times New Roman" w:eastAsia="黑体"/>
        </w:rPr>
        <w:t>种植</w:t>
      </w:r>
      <w:bookmarkEnd w:id="137"/>
    </w:p>
    <w:p w14:paraId="7AC9B53E">
      <w:pPr>
        <w:numPr>
          <w:ilvl w:val="3"/>
          <w:numId w:val="2"/>
        </w:numPr>
        <w:spacing w:before="156" w:beforeLines="50" w:after="156" w:afterLines="50"/>
        <w:outlineLvl w:val="2"/>
        <w:rPr>
          <w:rFonts w:ascii="黑体" w:hAnsi="Times New Roman" w:eastAsia="黑体"/>
        </w:rPr>
      </w:pPr>
      <w:r>
        <w:rPr>
          <w:rFonts w:hint="eastAsia" w:ascii="黑体" w:hAnsi="Times New Roman" w:eastAsia="黑体"/>
        </w:rPr>
        <w:t>时间</w:t>
      </w:r>
    </w:p>
    <w:p w14:paraId="29DC1B2B">
      <w:pPr>
        <w:autoSpaceDE w:val="0"/>
        <w:autoSpaceDN w:val="0"/>
        <w:ind w:firstLine="420" w:firstLineChars="200"/>
        <w:rPr>
          <w:rFonts w:ascii="Times New Roman" w:hAnsi="Times New Roman"/>
        </w:rPr>
      </w:pPr>
      <w:r>
        <w:rPr>
          <w:rFonts w:hint="eastAsia" w:ascii="Times New Roman" w:hAnsi="Times New Roman"/>
        </w:rPr>
        <w:t>4</w:t>
      </w:r>
      <w:r>
        <w:rPr>
          <w:rFonts w:ascii="Times New Roman" w:hAnsi="Times New Roman"/>
        </w:rPr>
        <w:t>月～</w:t>
      </w:r>
      <w:r>
        <w:rPr>
          <w:rFonts w:hint="eastAsia" w:ascii="Times New Roman" w:hAnsi="Times New Roman"/>
        </w:rPr>
        <w:t>5</w:t>
      </w:r>
      <w:r>
        <w:rPr>
          <w:rFonts w:ascii="Times New Roman" w:hAnsi="Times New Roman"/>
        </w:rPr>
        <w:t>月</w:t>
      </w:r>
      <w:r>
        <w:rPr>
          <w:rFonts w:hint="eastAsia" w:ascii="Times New Roman" w:hAnsi="Times New Roman"/>
        </w:rPr>
        <w:t>，</w:t>
      </w:r>
      <w:r>
        <w:rPr>
          <w:rFonts w:ascii="Times New Roman" w:hAnsi="Times New Roman"/>
        </w:rPr>
        <w:t>土壤湿透后</w:t>
      </w:r>
      <w:r>
        <w:rPr>
          <w:rFonts w:hint="eastAsia" w:ascii="Times New Roman" w:hAnsi="Times New Roman"/>
        </w:rPr>
        <w:t>种植</w:t>
      </w:r>
      <w:r>
        <w:rPr>
          <w:rFonts w:ascii="Times New Roman" w:hAnsi="Times New Roman"/>
        </w:rPr>
        <w:t>为宜。</w:t>
      </w:r>
    </w:p>
    <w:p w14:paraId="4BC9D745">
      <w:pPr>
        <w:numPr>
          <w:ilvl w:val="3"/>
          <w:numId w:val="2"/>
        </w:numPr>
        <w:spacing w:before="156" w:beforeLines="50" w:after="156" w:afterLines="50"/>
        <w:outlineLvl w:val="2"/>
        <w:rPr>
          <w:rFonts w:ascii="黑体" w:hAnsi="Times New Roman" w:eastAsia="黑体"/>
        </w:rPr>
      </w:pPr>
      <w:r>
        <w:rPr>
          <w:rFonts w:hint="eastAsia" w:ascii="黑体" w:hAnsi="Times New Roman" w:eastAsia="黑体"/>
        </w:rPr>
        <w:t>方法</w:t>
      </w:r>
    </w:p>
    <w:p w14:paraId="4AAFA826">
      <w:pPr>
        <w:adjustRightInd/>
        <w:spacing w:before="120" w:after="120" w:line="240" w:lineRule="auto"/>
        <w:ind w:left="850" w:leftChars="200" w:hanging="430" w:hangingChars="205"/>
        <w:rPr>
          <w:rFonts w:ascii="Times New Roman" w:hAnsi="Times New Roman"/>
          <w:kern w:val="0"/>
        </w:rPr>
      </w:pPr>
      <w:r>
        <w:rPr>
          <w:rFonts w:hint="eastAsia" w:ascii="宋体" w:hAnsi="宋体"/>
          <w:kern w:val="0"/>
        </w:rPr>
        <w:t>剥去育苗容器，苗木定植于穴中央，扶正培土，压实覆土。土面高于原土痕</w:t>
      </w:r>
      <w:r>
        <w:rPr>
          <w:rFonts w:hint="eastAsia" w:ascii="Times New Roman" w:hAnsi="Times New Roman"/>
          <w:kern w:val="0"/>
        </w:rPr>
        <w:t>2 cm</w:t>
      </w:r>
      <w:r>
        <w:rPr>
          <w:rFonts w:hint="eastAsia" w:ascii="宋体" w:hAnsi="宋体"/>
          <w:kern w:val="0"/>
        </w:rPr>
        <w:t>～</w:t>
      </w:r>
      <w:r>
        <w:rPr>
          <w:rFonts w:hint="eastAsia" w:ascii="Times New Roman" w:hAnsi="Times New Roman"/>
          <w:kern w:val="0"/>
        </w:rPr>
        <w:t>3 cm</w:t>
      </w:r>
      <w:r>
        <w:rPr>
          <w:rFonts w:hint="eastAsia" w:ascii="宋体" w:hAnsi="宋体"/>
          <w:kern w:val="0"/>
        </w:rPr>
        <w:t>，呈龟背</w:t>
      </w:r>
    </w:p>
    <w:p w14:paraId="60BBE5B1">
      <w:pPr>
        <w:adjustRightInd/>
        <w:spacing w:before="120" w:after="120" w:line="240" w:lineRule="auto"/>
        <w:rPr>
          <w:rFonts w:ascii="黑体" w:hAnsi="Times New Roman"/>
          <w:kern w:val="0"/>
        </w:rPr>
      </w:pPr>
      <w:r>
        <w:rPr>
          <w:rFonts w:hint="eastAsia" w:ascii="宋体" w:hAnsi="宋体"/>
          <w:kern w:val="0"/>
        </w:rPr>
        <w:t>状。</w:t>
      </w:r>
    </w:p>
    <w:p w14:paraId="47386124">
      <w:pPr>
        <w:numPr>
          <w:ilvl w:val="1"/>
          <w:numId w:val="2"/>
        </w:numPr>
        <w:spacing w:before="312" w:beforeLines="100" w:after="312" w:afterLines="100"/>
        <w:outlineLvl w:val="0"/>
        <w:rPr>
          <w:rFonts w:ascii="黑体" w:hAnsi="Times New Roman" w:eastAsia="黑体"/>
        </w:rPr>
      </w:pPr>
      <w:bookmarkStart w:id="138" w:name="_Toc240535948"/>
      <w:r>
        <w:rPr>
          <w:rFonts w:hint="eastAsia" w:ascii="黑体" w:hAnsi="Times New Roman" w:eastAsia="黑体"/>
        </w:rPr>
        <w:t>抚育管理</w:t>
      </w:r>
      <w:bookmarkEnd w:id="138"/>
    </w:p>
    <w:p w14:paraId="320AC34C">
      <w:pPr>
        <w:numPr>
          <w:ilvl w:val="2"/>
          <w:numId w:val="2"/>
        </w:numPr>
        <w:spacing w:before="156" w:beforeLines="50" w:after="156" w:afterLines="50"/>
        <w:outlineLvl w:val="1"/>
        <w:rPr>
          <w:rFonts w:ascii="黑体" w:hAnsi="Times New Roman" w:eastAsia="黑体"/>
        </w:rPr>
      </w:pPr>
      <w:r>
        <w:rPr>
          <w:rFonts w:hint="eastAsia" w:ascii="黑体" w:hAnsi="Times New Roman" w:eastAsia="黑体"/>
        </w:rPr>
        <w:t>补植</w:t>
      </w:r>
    </w:p>
    <w:p w14:paraId="1DC1423E">
      <w:pPr>
        <w:autoSpaceDE w:val="0"/>
        <w:autoSpaceDN w:val="0"/>
        <w:ind w:firstLine="420" w:firstLineChars="200"/>
        <w:rPr>
          <w:rFonts w:ascii="Times New Roman" w:hAnsi="Times New Roman"/>
        </w:rPr>
      </w:pPr>
      <w:r>
        <w:rPr>
          <w:rFonts w:hint="eastAsia" w:ascii="Times New Roman" w:hAnsi="Times New Roman"/>
        </w:rPr>
        <w:t>造林后</w:t>
      </w:r>
      <w:r>
        <w:rPr>
          <w:rFonts w:ascii="Times New Roman" w:hAnsi="Times New Roman"/>
        </w:rPr>
        <w:t>2个月～3个月调查成活率</w:t>
      </w:r>
      <w:r>
        <w:rPr>
          <w:rFonts w:hint="eastAsia" w:ascii="Times New Roman" w:hAnsi="Times New Roman"/>
        </w:rPr>
        <w:t>，</w:t>
      </w:r>
      <w:r>
        <w:rPr>
          <w:rFonts w:ascii="Times New Roman" w:hAnsi="Times New Roman"/>
        </w:rPr>
        <w:t>及时补植。</w:t>
      </w:r>
    </w:p>
    <w:p w14:paraId="4A7FE32C">
      <w:pPr>
        <w:numPr>
          <w:ilvl w:val="2"/>
          <w:numId w:val="2"/>
        </w:numPr>
        <w:spacing w:before="156" w:beforeLines="50" w:after="156" w:afterLines="50"/>
        <w:outlineLvl w:val="1"/>
        <w:rPr>
          <w:rFonts w:ascii="黑体" w:hAnsi="Times New Roman" w:eastAsia="黑体"/>
        </w:rPr>
      </w:pPr>
      <w:r>
        <w:rPr>
          <w:rFonts w:hint="eastAsia" w:ascii="黑体" w:hAnsi="Times New Roman" w:eastAsia="黑体"/>
        </w:rPr>
        <w:t>割灌除草</w:t>
      </w:r>
    </w:p>
    <w:p w14:paraId="55250B5D">
      <w:pPr>
        <w:adjustRightInd/>
        <w:spacing w:before="120" w:after="120" w:line="240" w:lineRule="auto"/>
        <w:ind w:firstLine="420" w:firstLineChars="200"/>
        <w:rPr>
          <w:rFonts w:ascii="Times New Roman" w:hAnsi="Times New Roman"/>
          <w:kern w:val="0"/>
        </w:rPr>
      </w:pPr>
      <w:bookmarkStart w:id="139" w:name="OLE_LINK1"/>
      <w:bookmarkStart w:id="140" w:name="OLE_LINK2"/>
      <w:r>
        <w:rPr>
          <w:rFonts w:hint="eastAsia" w:ascii="Times New Roman" w:hAnsi="Times New Roman"/>
          <w:kern w:val="0"/>
        </w:rPr>
        <w:t>林分郁闭前，</w:t>
      </w:r>
      <w:r>
        <w:rPr>
          <w:rFonts w:ascii="Times New Roman" w:hAnsi="Times New Roman"/>
          <w:kern w:val="0"/>
        </w:rPr>
        <w:t>每年割灌2次，分别在4月～6月和</w:t>
      </w:r>
      <w:r>
        <w:rPr>
          <w:rFonts w:hint="eastAsia" w:ascii="Times New Roman" w:hAnsi="Times New Roman"/>
          <w:kern w:val="0"/>
          <w:lang w:val="en-US" w:eastAsia="zh-CN"/>
        </w:rPr>
        <w:t>8</w:t>
      </w:r>
      <w:r>
        <w:rPr>
          <w:rFonts w:ascii="Times New Roman" w:hAnsi="Times New Roman"/>
          <w:kern w:val="0"/>
        </w:rPr>
        <w:t>月～</w:t>
      </w:r>
      <w:r>
        <w:rPr>
          <w:rFonts w:hint="eastAsia" w:ascii="Times New Roman" w:hAnsi="Times New Roman"/>
          <w:kern w:val="0"/>
          <w:lang w:val="en-US" w:eastAsia="zh-CN"/>
        </w:rPr>
        <w:t>10</w:t>
      </w:r>
      <w:r>
        <w:rPr>
          <w:rFonts w:ascii="Times New Roman" w:hAnsi="Times New Roman"/>
          <w:kern w:val="0"/>
        </w:rPr>
        <w:t>月进行，割除影响苗木生长的杂灌、杂草和藤蔓。</w:t>
      </w:r>
    </w:p>
    <w:bookmarkEnd w:id="139"/>
    <w:bookmarkEnd w:id="140"/>
    <w:p w14:paraId="3CA467ED">
      <w:pPr>
        <w:numPr>
          <w:ilvl w:val="2"/>
          <w:numId w:val="2"/>
        </w:numPr>
        <w:spacing w:before="156" w:beforeLines="50" w:after="156" w:afterLines="50"/>
        <w:outlineLvl w:val="1"/>
        <w:rPr>
          <w:rFonts w:ascii="黑体" w:hAnsi="Times New Roman" w:eastAsia="黑体"/>
        </w:rPr>
      </w:pPr>
      <w:r>
        <w:rPr>
          <w:rFonts w:hint="eastAsia" w:ascii="黑体" w:hAnsi="Times New Roman" w:eastAsia="黑体"/>
        </w:rPr>
        <w:t>追肥</w:t>
      </w:r>
    </w:p>
    <w:p w14:paraId="3BE4390E">
      <w:pPr>
        <w:adjustRightInd/>
        <w:spacing w:line="240" w:lineRule="auto"/>
        <w:ind w:firstLine="424" w:firstLineChars="202"/>
        <w:rPr>
          <w:rFonts w:ascii="Times New Roman" w:hAnsi="Times New Roman"/>
          <w:kern w:val="0"/>
        </w:rPr>
      </w:pPr>
      <w:r>
        <w:rPr>
          <w:rFonts w:hint="eastAsia" w:ascii="宋体" w:hAnsi="宋体"/>
          <w:kern w:val="0"/>
        </w:rPr>
        <w:t>结合割灌追肥，方法如下：</w:t>
      </w:r>
    </w:p>
    <w:p w14:paraId="29B9CCCA">
      <w:pPr>
        <w:adjustRightInd/>
        <w:spacing w:line="240" w:lineRule="auto"/>
        <w:ind w:firstLine="404" w:firstLineChars="202"/>
        <w:rPr>
          <w:rFonts w:ascii="Times New Roman" w:hAnsi="Times New Roman"/>
          <w:kern w:val="0"/>
        </w:rPr>
      </w:pPr>
      <w:r>
        <w:rPr>
          <w:rFonts w:hint="eastAsia" w:ascii="Times New Roman" w:hAnsi="Times New Roman"/>
          <w:kern w:val="0"/>
          <w:sz w:val="20"/>
          <w:szCs w:val="20"/>
        </w:rPr>
        <w:t xml:space="preserve">a) </w:t>
      </w:r>
      <w:r>
        <w:rPr>
          <w:rFonts w:ascii="宋体" w:hAnsi="宋体"/>
          <w:kern w:val="0"/>
        </w:rPr>
        <w:t>造林</w:t>
      </w:r>
      <w:r>
        <w:rPr>
          <w:rFonts w:hint="eastAsia" w:ascii="宋体" w:hAnsi="宋体"/>
          <w:kern w:val="0"/>
        </w:rPr>
        <w:t>第</w:t>
      </w:r>
      <w:r>
        <w:rPr>
          <w:rFonts w:hint="eastAsia" w:ascii="Times New Roman" w:hAnsi="Times New Roman"/>
          <w:kern w:val="0"/>
        </w:rPr>
        <w:t>1 a</w:t>
      </w:r>
      <w:r>
        <w:rPr>
          <w:rFonts w:hint="eastAsia" w:ascii="宋体" w:hAnsi="宋体"/>
          <w:kern w:val="0"/>
        </w:rPr>
        <w:t>，</w:t>
      </w:r>
      <w:r>
        <w:rPr>
          <w:rFonts w:hint="eastAsia" w:ascii="Times New Roman" w:hAnsi="Times New Roman"/>
          <w:kern w:val="0"/>
        </w:rPr>
        <w:t>7</w:t>
      </w:r>
      <w:r>
        <w:rPr>
          <w:rFonts w:hint="eastAsia" w:ascii="宋体" w:hAnsi="宋体"/>
          <w:kern w:val="0"/>
        </w:rPr>
        <w:t>月～</w:t>
      </w:r>
      <w:r>
        <w:rPr>
          <w:rFonts w:hint="eastAsia" w:ascii="Times New Roman" w:hAnsi="Times New Roman"/>
          <w:kern w:val="0"/>
        </w:rPr>
        <w:t>8</w:t>
      </w:r>
      <w:r>
        <w:rPr>
          <w:rFonts w:hint="eastAsia" w:ascii="宋体" w:hAnsi="宋体"/>
          <w:kern w:val="0"/>
        </w:rPr>
        <w:t>月，每株施</w:t>
      </w:r>
      <w:r>
        <w:rPr>
          <w:rFonts w:hint="eastAsia" w:ascii="Times New Roman" w:hAnsi="Times New Roman"/>
          <w:kern w:val="0"/>
        </w:rPr>
        <w:t>NPK复合肥</w:t>
      </w:r>
      <w:r>
        <w:rPr>
          <w:rFonts w:hint="eastAsia" w:ascii="Times New Roman" w:hAnsi="Times New Roman"/>
          <w:color w:val="000000"/>
          <w:kern w:val="0"/>
        </w:rPr>
        <w:t>（总养分</w:t>
      </w:r>
      <w:r>
        <w:rPr>
          <w:rFonts w:hint="eastAsia" w:ascii="宋体" w:hAnsi="宋体" w:cs="宋体"/>
          <w:kern w:val="0"/>
        </w:rPr>
        <w:t>≥</w:t>
      </w:r>
      <w:r>
        <w:rPr>
          <w:rFonts w:ascii="Times New Roman" w:hAnsi="Times New Roman"/>
          <w:kern w:val="0"/>
        </w:rPr>
        <w:t>45%</w:t>
      </w:r>
      <w:r>
        <w:rPr>
          <w:rFonts w:hint="eastAsia" w:ascii="Times New Roman" w:hAnsi="Times New Roman"/>
          <w:kern w:val="0"/>
        </w:rPr>
        <w:t>）1</w:t>
      </w:r>
      <w:r>
        <w:rPr>
          <w:rFonts w:ascii="Times New Roman" w:hAnsi="Times New Roman"/>
          <w:kern w:val="0"/>
        </w:rPr>
        <w:t>00</w:t>
      </w:r>
      <w:r>
        <w:rPr>
          <w:rFonts w:hint="eastAsia" w:ascii="Times New Roman" w:hAnsi="Times New Roman"/>
          <w:kern w:val="0"/>
        </w:rPr>
        <w:t xml:space="preserve"> </w:t>
      </w:r>
      <w:r>
        <w:rPr>
          <w:rFonts w:ascii="Times New Roman" w:hAnsi="Times New Roman"/>
          <w:kern w:val="0"/>
        </w:rPr>
        <w:t>g</w:t>
      </w:r>
      <w:r>
        <w:rPr>
          <w:rFonts w:hint="eastAsia" w:ascii="宋体" w:hAnsi="宋体"/>
          <w:kern w:val="0"/>
        </w:rPr>
        <w:t>～</w:t>
      </w:r>
      <w:r>
        <w:rPr>
          <w:rFonts w:ascii="Times New Roman" w:hAnsi="Times New Roman"/>
          <w:kern w:val="0"/>
        </w:rPr>
        <w:t>150</w:t>
      </w:r>
      <w:r>
        <w:rPr>
          <w:rFonts w:hint="eastAsia" w:ascii="Times New Roman" w:hAnsi="Times New Roman"/>
          <w:kern w:val="0"/>
        </w:rPr>
        <w:t xml:space="preserve"> </w:t>
      </w:r>
      <w:r>
        <w:rPr>
          <w:rFonts w:ascii="Times New Roman" w:hAnsi="Times New Roman"/>
          <w:kern w:val="0"/>
        </w:rPr>
        <w:t>g</w:t>
      </w:r>
      <w:r>
        <w:rPr>
          <w:rFonts w:hint="eastAsia" w:ascii="宋体" w:hAnsi="宋体"/>
          <w:kern w:val="0"/>
        </w:rPr>
        <w:t>；</w:t>
      </w:r>
    </w:p>
    <w:p w14:paraId="0BBB840A">
      <w:pPr>
        <w:adjustRightInd/>
        <w:spacing w:line="240" w:lineRule="auto"/>
        <w:ind w:firstLine="404" w:firstLineChars="202"/>
        <w:rPr>
          <w:rFonts w:ascii="Times New Roman" w:hAnsi="Times New Roman"/>
          <w:kern w:val="0"/>
        </w:rPr>
      </w:pPr>
      <w:r>
        <w:rPr>
          <w:rFonts w:hint="eastAsia" w:ascii="Times New Roman" w:hAnsi="Times New Roman"/>
          <w:kern w:val="0"/>
          <w:sz w:val="20"/>
          <w:szCs w:val="20"/>
        </w:rPr>
        <w:t>b)</w:t>
      </w:r>
      <w:r>
        <w:rPr>
          <w:rFonts w:hint="eastAsia" w:ascii="Times New Roman" w:hAnsi="Times New Roman"/>
          <w:kern w:val="0"/>
        </w:rPr>
        <w:t xml:space="preserve"> </w:t>
      </w:r>
      <w:r>
        <w:rPr>
          <w:rFonts w:hint="eastAsia" w:ascii="宋体" w:hAnsi="宋体"/>
          <w:kern w:val="0"/>
        </w:rPr>
        <w:t>造林第</w:t>
      </w:r>
      <w:r>
        <w:rPr>
          <w:rFonts w:hint="eastAsia" w:ascii="Times New Roman" w:hAnsi="Times New Roman"/>
          <w:kern w:val="0"/>
        </w:rPr>
        <w:t>2 a</w:t>
      </w:r>
      <w:r>
        <w:rPr>
          <w:rFonts w:ascii="宋体" w:hAnsi="宋体"/>
          <w:kern w:val="0"/>
        </w:rPr>
        <w:t>～</w:t>
      </w:r>
      <w:r>
        <w:rPr>
          <w:rFonts w:hint="eastAsia" w:ascii="Times New Roman" w:hAnsi="Times New Roman"/>
          <w:kern w:val="0"/>
        </w:rPr>
        <w:t>3 a</w:t>
      </w:r>
      <w:r>
        <w:rPr>
          <w:rFonts w:hint="eastAsia" w:ascii="宋体" w:hAnsi="宋体"/>
          <w:kern w:val="0"/>
        </w:rPr>
        <w:t>，</w:t>
      </w:r>
      <w:r>
        <w:rPr>
          <w:rFonts w:hint="eastAsia" w:ascii="Times New Roman" w:hAnsi="Times New Roman"/>
          <w:kern w:val="0"/>
        </w:rPr>
        <w:t>4</w:t>
      </w:r>
      <w:r>
        <w:rPr>
          <w:rFonts w:hint="eastAsia" w:ascii="宋体" w:hAnsi="宋体"/>
          <w:kern w:val="0"/>
        </w:rPr>
        <w:t>月</w:t>
      </w:r>
      <w:r>
        <w:rPr>
          <w:rFonts w:ascii="宋体" w:hAnsi="宋体"/>
          <w:kern w:val="0"/>
        </w:rPr>
        <w:t>～</w:t>
      </w:r>
      <w:r>
        <w:rPr>
          <w:rFonts w:hint="eastAsia" w:ascii="Times New Roman" w:hAnsi="Times New Roman"/>
          <w:kern w:val="0"/>
        </w:rPr>
        <w:t>6</w:t>
      </w:r>
      <w:r>
        <w:rPr>
          <w:rFonts w:hint="eastAsia" w:ascii="宋体" w:hAnsi="宋体"/>
          <w:kern w:val="0"/>
        </w:rPr>
        <w:t>月和</w:t>
      </w:r>
      <w:r>
        <w:rPr>
          <w:rFonts w:hint="eastAsia" w:ascii="Times New Roman" w:hAnsi="Times New Roman"/>
          <w:kern w:val="0"/>
        </w:rPr>
        <w:t>7</w:t>
      </w:r>
      <w:r>
        <w:rPr>
          <w:rFonts w:hint="eastAsia" w:ascii="宋体" w:hAnsi="宋体"/>
          <w:kern w:val="0"/>
        </w:rPr>
        <w:t>月～</w:t>
      </w:r>
      <w:r>
        <w:rPr>
          <w:rFonts w:hint="eastAsia" w:ascii="Times New Roman" w:hAnsi="Times New Roman"/>
          <w:kern w:val="0"/>
        </w:rPr>
        <w:t>9</w:t>
      </w:r>
      <w:r>
        <w:rPr>
          <w:rFonts w:hint="eastAsia" w:ascii="宋体" w:hAnsi="宋体"/>
          <w:kern w:val="0"/>
        </w:rPr>
        <w:t>月，每株</w:t>
      </w:r>
      <w:r>
        <w:rPr>
          <w:rFonts w:ascii="宋体" w:hAnsi="宋体"/>
          <w:kern w:val="0"/>
        </w:rPr>
        <w:t>施</w:t>
      </w:r>
      <w:r>
        <w:rPr>
          <w:rFonts w:hint="eastAsia" w:ascii="Times New Roman" w:hAnsi="Times New Roman"/>
          <w:kern w:val="0"/>
        </w:rPr>
        <w:t>NPK复合肥</w:t>
      </w:r>
      <w:r>
        <w:rPr>
          <w:rFonts w:hint="eastAsia" w:ascii="Times New Roman" w:hAnsi="Times New Roman"/>
          <w:color w:val="000000"/>
          <w:kern w:val="0"/>
        </w:rPr>
        <w:t>（总养分</w:t>
      </w:r>
      <w:r>
        <w:rPr>
          <w:rFonts w:hint="eastAsia" w:ascii="宋体" w:hAnsi="宋体" w:cs="宋体"/>
          <w:kern w:val="0"/>
        </w:rPr>
        <w:t>≥</w:t>
      </w:r>
      <w:r>
        <w:rPr>
          <w:rFonts w:ascii="Times New Roman" w:hAnsi="Times New Roman"/>
          <w:kern w:val="0"/>
        </w:rPr>
        <w:t>45%</w:t>
      </w:r>
      <w:r>
        <w:rPr>
          <w:rFonts w:hint="eastAsia" w:ascii="Times New Roman" w:hAnsi="Times New Roman"/>
          <w:kern w:val="0"/>
        </w:rPr>
        <w:t>）</w:t>
      </w:r>
      <w:r>
        <w:rPr>
          <w:rFonts w:ascii="Times New Roman" w:hAnsi="Times New Roman"/>
          <w:kern w:val="0"/>
        </w:rPr>
        <w:t>1</w:t>
      </w:r>
      <w:r>
        <w:rPr>
          <w:rFonts w:hint="eastAsia" w:ascii="Times New Roman" w:hAnsi="Times New Roman"/>
          <w:kern w:val="0"/>
        </w:rPr>
        <w:t>0</w:t>
      </w:r>
      <w:r>
        <w:rPr>
          <w:rFonts w:ascii="Times New Roman" w:hAnsi="Times New Roman"/>
          <w:kern w:val="0"/>
        </w:rPr>
        <w:t>0</w:t>
      </w:r>
      <w:r>
        <w:rPr>
          <w:rFonts w:hint="eastAsia" w:ascii="Times New Roman" w:hAnsi="Times New Roman"/>
          <w:kern w:val="0"/>
        </w:rPr>
        <w:t xml:space="preserve"> </w:t>
      </w:r>
      <w:r>
        <w:rPr>
          <w:rFonts w:ascii="Times New Roman" w:hAnsi="Times New Roman"/>
          <w:kern w:val="0"/>
        </w:rPr>
        <w:t>g</w:t>
      </w:r>
      <w:r>
        <w:rPr>
          <w:rFonts w:hint="eastAsia" w:ascii="宋体" w:hAnsi="宋体"/>
          <w:kern w:val="0"/>
        </w:rPr>
        <w:t>～</w:t>
      </w:r>
      <w:r>
        <w:rPr>
          <w:rFonts w:hint="eastAsia" w:ascii="Times New Roman" w:hAnsi="Times New Roman"/>
          <w:kern w:val="0"/>
        </w:rPr>
        <w:t>15</w:t>
      </w:r>
      <w:r>
        <w:rPr>
          <w:rFonts w:ascii="Times New Roman" w:hAnsi="Times New Roman"/>
          <w:kern w:val="0"/>
        </w:rPr>
        <w:t>0</w:t>
      </w:r>
      <w:r>
        <w:rPr>
          <w:rFonts w:hint="eastAsia" w:ascii="Times New Roman" w:hAnsi="Times New Roman"/>
          <w:kern w:val="0"/>
        </w:rPr>
        <w:t xml:space="preserve"> </w:t>
      </w:r>
      <w:r>
        <w:rPr>
          <w:rFonts w:ascii="Times New Roman" w:hAnsi="Times New Roman"/>
          <w:kern w:val="0"/>
        </w:rPr>
        <w:t>g</w:t>
      </w:r>
      <w:r>
        <w:rPr>
          <w:rFonts w:hint="eastAsia" w:ascii="宋体" w:hAnsi="宋体"/>
          <w:kern w:val="0"/>
        </w:rPr>
        <w:t>；</w:t>
      </w:r>
    </w:p>
    <w:p w14:paraId="6DD849A5">
      <w:pPr>
        <w:adjustRightInd/>
        <w:spacing w:line="240" w:lineRule="auto"/>
        <w:ind w:left="2" w:firstLine="404" w:firstLineChars="202"/>
        <w:rPr>
          <w:rFonts w:ascii="宋体" w:hAnsi="宋体"/>
          <w:kern w:val="0"/>
        </w:rPr>
      </w:pPr>
      <w:r>
        <w:rPr>
          <w:rFonts w:hint="eastAsia" w:ascii="Times New Roman" w:hAnsi="Times New Roman"/>
          <w:kern w:val="0"/>
          <w:sz w:val="20"/>
          <w:szCs w:val="20"/>
        </w:rPr>
        <w:t xml:space="preserve">c) </w:t>
      </w:r>
      <w:r>
        <w:rPr>
          <w:rFonts w:hint="eastAsia" w:ascii="宋体" w:hAnsi="宋体"/>
          <w:kern w:val="0"/>
        </w:rPr>
        <w:t>在幼苗基部上坡位或两侧</w:t>
      </w:r>
      <w:r>
        <w:rPr>
          <w:rFonts w:hint="eastAsia" w:ascii="Times New Roman" w:hAnsi="Times New Roman"/>
          <w:kern w:val="0"/>
          <w:lang w:val="en-US" w:eastAsia="zh-CN"/>
        </w:rPr>
        <w:t>3</w:t>
      </w:r>
      <w:r>
        <w:rPr>
          <w:rFonts w:hint="eastAsia" w:ascii="Times New Roman" w:hAnsi="Times New Roman"/>
          <w:kern w:val="0"/>
        </w:rPr>
        <w:t>0 cm</w:t>
      </w:r>
      <w:r>
        <w:rPr>
          <w:rFonts w:hint="eastAsia" w:ascii="宋体" w:hAnsi="宋体"/>
          <w:kern w:val="0"/>
        </w:rPr>
        <w:t>～</w:t>
      </w:r>
      <w:r>
        <w:rPr>
          <w:rFonts w:hint="eastAsia" w:ascii="Times New Roman" w:hAnsi="Times New Roman"/>
          <w:kern w:val="0"/>
          <w:lang w:val="en-US" w:eastAsia="zh-CN"/>
        </w:rPr>
        <w:t>6</w:t>
      </w:r>
      <w:r>
        <w:rPr>
          <w:rFonts w:hint="eastAsia" w:ascii="Times New Roman" w:hAnsi="Times New Roman"/>
          <w:kern w:val="0"/>
        </w:rPr>
        <w:t>0 cm</w:t>
      </w:r>
      <w:r>
        <w:rPr>
          <w:rFonts w:hint="eastAsia" w:ascii="宋体" w:hAnsi="宋体"/>
          <w:kern w:val="0"/>
        </w:rPr>
        <w:t>处，挖长</w:t>
      </w:r>
      <w:r>
        <w:rPr>
          <w:rFonts w:hint="eastAsia" w:ascii="Times New Roman" w:hAnsi="Times New Roman"/>
          <w:kern w:val="0"/>
        </w:rPr>
        <w:t>20 cm</w:t>
      </w:r>
      <w:r>
        <w:rPr>
          <w:rFonts w:hint="eastAsia" w:ascii="宋体" w:hAnsi="宋体"/>
          <w:kern w:val="0"/>
        </w:rPr>
        <w:t>～</w:t>
      </w:r>
      <w:r>
        <w:rPr>
          <w:rFonts w:hint="eastAsia" w:ascii="Times New Roman" w:hAnsi="Times New Roman"/>
          <w:kern w:val="0"/>
        </w:rPr>
        <w:t>30 cm</w:t>
      </w:r>
      <w:r>
        <w:rPr>
          <w:rFonts w:hint="eastAsia" w:ascii="宋体" w:hAnsi="宋体"/>
          <w:kern w:val="0"/>
        </w:rPr>
        <w:t>、宽</w:t>
      </w:r>
      <w:r>
        <w:rPr>
          <w:rFonts w:hint="eastAsia" w:ascii="Times New Roman" w:hAnsi="Times New Roman"/>
          <w:kern w:val="0"/>
        </w:rPr>
        <w:t>20 cm</w:t>
      </w:r>
      <w:r>
        <w:rPr>
          <w:rFonts w:hint="eastAsia" w:ascii="宋体" w:hAnsi="宋体"/>
          <w:kern w:val="0"/>
        </w:rPr>
        <w:t>～</w:t>
      </w:r>
      <w:r>
        <w:rPr>
          <w:rFonts w:hint="eastAsia" w:ascii="Times New Roman" w:hAnsi="Times New Roman"/>
          <w:kern w:val="0"/>
        </w:rPr>
        <w:t>30 cm</w:t>
      </w:r>
      <w:r>
        <w:rPr>
          <w:rFonts w:hint="eastAsia" w:ascii="宋体" w:hAnsi="宋体"/>
          <w:kern w:val="0"/>
        </w:rPr>
        <w:t>、深</w:t>
      </w:r>
      <w:r>
        <w:rPr>
          <w:rFonts w:hint="eastAsia" w:ascii="Times New Roman" w:hAnsi="Times New Roman"/>
          <w:kern w:val="0"/>
        </w:rPr>
        <w:t>15 cm</w:t>
      </w:r>
      <w:r>
        <w:rPr>
          <w:rFonts w:hint="eastAsia" w:ascii="宋体" w:hAnsi="宋体"/>
          <w:kern w:val="0"/>
        </w:rPr>
        <w:t>～</w:t>
      </w:r>
      <w:r>
        <w:rPr>
          <w:rFonts w:hint="eastAsia" w:ascii="Times New Roman" w:hAnsi="Times New Roman"/>
          <w:kern w:val="0"/>
        </w:rPr>
        <w:t>20 cm</w:t>
      </w:r>
      <w:r>
        <w:rPr>
          <w:rFonts w:hint="eastAsia" w:ascii="宋体" w:hAnsi="宋体"/>
          <w:kern w:val="0"/>
        </w:rPr>
        <w:t>的施肥沟，将肥料均匀撒入，回土覆盖。</w:t>
      </w:r>
    </w:p>
    <w:p w14:paraId="0897EE51">
      <w:pPr>
        <w:numPr>
          <w:ilvl w:val="2"/>
          <w:numId w:val="2"/>
        </w:numPr>
        <w:spacing w:before="156" w:beforeLines="50" w:after="156" w:afterLines="50"/>
        <w:outlineLvl w:val="1"/>
        <w:rPr>
          <w:rFonts w:ascii="黑体" w:hAnsi="Times New Roman" w:eastAsia="黑体"/>
        </w:rPr>
      </w:pPr>
      <w:bookmarkStart w:id="141" w:name="_Toc229325426"/>
      <w:r>
        <w:rPr>
          <w:rFonts w:hint="eastAsia" w:ascii="黑体" w:hAnsi="Times New Roman" w:eastAsia="黑体"/>
        </w:rPr>
        <w:t>间伐</w:t>
      </w:r>
      <w:bookmarkEnd w:id="141"/>
    </w:p>
    <w:p w14:paraId="5BEA6173">
      <w:pPr>
        <w:autoSpaceDE w:val="0"/>
        <w:autoSpaceDN w:val="0"/>
        <w:ind w:firstLine="420" w:firstLineChars="200"/>
        <w:rPr>
          <w:rFonts w:hint="default" w:ascii="Times New Roman" w:hAnsi="Times New Roman" w:eastAsia="宋体"/>
          <w:color w:val="FF0000"/>
          <w:lang w:val="en-US" w:eastAsia="zh-CN"/>
        </w:rPr>
      </w:pPr>
      <w:r>
        <w:rPr>
          <w:rFonts w:hint="eastAsia" w:ascii="宋体" w:hAnsi="宋体"/>
        </w:rPr>
        <w:t>林龄</w:t>
      </w:r>
      <w:r>
        <w:rPr>
          <w:rFonts w:hint="eastAsia" w:ascii="Times New Roman" w:hAnsi="Times New Roman"/>
        </w:rPr>
        <w:t>10 a</w:t>
      </w:r>
      <w:r>
        <w:rPr>
          <w:rFonts w:hint="eastAsia" w:ascii="宋体" w:hAnsi="宋体"/>
        </w:rPr>
        <w:t>～</w:t>
      </w:r>
      <w:r>
        <w:rPr>
          <w:rFonts w:hint="eastAsia" w:ascii="Times New Roman" w:hAnsi="Times New Roman"/>
        </w:rPr>
        <w:t>13 a</w:t>
      </w:r>
      <w:r>
        <w:rPr>
          <w:rFonts w:hint="eastAsia" w:ascii="宋体" w:hAnsi="宋体"/>
        </w:rPr>
        <w:t>，郁闭度大于</w:t>
      </w:r>
      <w:r>
        <w:rPr>
          <w:rFonts w:hint="eastAsia" w:ascii="Times New Roman" w:hAnsi="Times New Roman"/>
        </w:rPr>
        <w:t>0.8</w:t>
      </w:r>
      <w:r>
        <w:rPr>
          <w:rFonts w:hint="eastAsia" w:ascii="宋体" w:hAnsi="宋体"/>
        </w:rPr>
        <w:t>时</w:t>
      </w:r>
      <w:r>
        <w:rPr>
          <w:rFonts w:hint="eastAsia" w:ascii="宋体" w:hAnsi="宋体"/>
          <w:lang w:val="en-US" w:eastAsia="zh-CN"/>
        </w:rPr>
        <w:t>进行第一次</w:t>
      </w:r>
      <w:r>
        <w:rPr>
          <w:rFonts w:hint="eastAsia" w:ascii="宋体" w:hAnsi="宋体"/>
        </w:rPr>
        <w:t>间伐，</w:t>
      </w:r>
      <w:r>
        <w:rPr>
          <w:rFonts w:hint="eastAsia" w:ascii="宋体" w:hAnsi="宋体"/>
          <w:lang w:val="en-US" w:eastAsia="zh-CN"/>
        </w:rPr>
        <w:t>之后每隔</w:t>
      </w:r>
      <w:r>
        <w:rPr>
          <w:rFonts w:hint="eastAsia" w:ascii="Times New Roman" w:hAnsi="Times New Roman"/>
        </w:rPr>
        <w:t>10 a</w:t>
      </w:r>
      <w:r>
        <w:rPr>
          <w:rFonts w:hint="eastAsia" w:ascii="宋体" w:hAnsi="宋体"/>
        </w:rPr>
        <w:t>～</w:t>
      </w:r>
      <w:r>
        <w:rPr>
          <w:rFonts w:hint="eastAsia" w:ascii="Times New Roman" w:hAnsi="Times New Roman"/>
        </w:rPr>
        <w:t>13 a</w:t>
      </w:r>
      <w:r>
        <w:rPr>
          <w:rFonts w:hint="eastAsia" w:ascii="宋体" w:hAnsi="宋体"/>
        </w:rPr>
        <w:t>间伐</w:t>
      </w:r>
      <w:r>
        <w:rPr>
          <w:rFonts w:hint="eastAsia" w:ascii="宋体" w:hAnsi="宋体"/>
          <w:lang w:val="en-US" w:eastAsia="zh-CN"/>
        </w:rPr>
        <w:t>一次，</w:t>
      </w:r>
      <w:r>
        <w:rPr>
          <w:rFonts w:hint="eastAsia" w:ascii="Times New Roman" w:hAnsi="Times New Roman"/>
        </w:rPr>
        <w:t>经营期内间伐</w:t>
      </w:r>
      <w:r>
        <w:rPr>
          <w:rFonts w:hint="eastAsia" w:ascii="Times New Roman" w:hAnsi="Times New Roman"/>
          <w:lang w:val="en-US" w:eastAsia="zh-CN"/>
        </w:rPr>
        <w:t>2</w:t>
      </w:r>
      <w:r>
        <w:rPr>
          <w:rFonts w:hint="eastAsia" w:ascii="Times New Roman" w:hAnsi="Times New Roman"/>
        </w:rPr>
        <w:t>次～</w:t>
      </w:r>
      <w:r>
        <w:rPr>
          <w:rFonts w:hint="eastAsia" w:ascii="Times New Roman" w:hAnsi="Times New Roman"/>
          <w:lang w:val="en-US" w:eastAsia="zh-CN"/>
        </w:rPr>
        <w:t>4</w:t>
      </w:r>
      <w:r>
        <w:rPr>
          <w:rFonts w:hint="eastAsia" w:ascii="Times New Roman" w:hAnsi="Times New Roman"/>
        </w:rPr>
        <w:t>次</w:t>
      </w:r>
      <w:r>
        <w:rPr>
          <w:rFonts w:hint="eastAsia" w:ascii="Times New Roman" w:hAnsi="Times New Roman"/>
          <w:lang w:eastAsia="zh-CN"/>
        </w:rPr>
        <w:t>，</w:t>
      </w:r>
      <w:r>
        <w:rPr>
          <w:rFonts w:hint="eastAsia" w:ascii="宋体" w:hAnsi="宋体"/>
          <w:lang w:val="en-US" w:eastAsia="zh-CN"/>
        </w:rPr>
        <w:t>间伐</w:t>
      </w:r>
      <w:r>
        <w:rPr>
          <w:rFonts w:hint="eastAsia" w:ascii="宋体" w:hAnsi="宋体"/>
        </w:rPr>
        <w:t>强度</w:t>
      </w:r>
      <w:r>
        <w:rPr>
          <w:rFonts w:hint="eastAsia" w:ascii="Times New Roman" w:hAnsi="Times New Roman"/>
        </w:rPr>
        <w:t>20%</w:t>
      </w:r>
      <w:r>
        <w:rPr>
          <w:rFonts w:hint="eastAsia" w:ascii="宋体" w:hAnsi="宋体"/>
        </w:rPr>
        <w:t>～</w:t>
      </w:r>
      <w:r>
        <w:rPr>
          <w:rFonts w:hint="eastAsia" w:ascii="Times New Roman" w:hAnsi="Times New Roman"/>
        </w:rPr>
        <w:t>30%</w:t>
      </w:r>
      <w:r>
        <w:rPr>
          <w:rFonts w:hint="eastAsia" w:ascii="宋体" w:hAnsi="宋体"/>
        </w:rPr>
        <w:t>。伐劣留优，伐除生长不良的林木，使林木分布均匀，不造成林窗，疏</w:t>
      </w:r>
      <w:bookmarkStart w:id="158" w:name="_GoBack"/>
      <w:bookmarkEnd w:id="158"/>
      <w:r>
        <w:rPr>
          <w:rFonts w:hint="eastAsia" w:ascii="宋体" w:hAnsi="宋体"/>
        </w:rPr>
        <w:t>伐后郁闭度不</w:t>
      </w:r>
      <w:r>
        <w:rPr>
          <w:rFonts w:hint="eastAsia" w:ascii="Times New Roman" w:hAnsi="Times New Roman"/>
        </w:rPr>
        <w:t>低于0.6。</w:t>
      </w:r>
    </w:p>
    <w:p w14:paraId="551A5DAF">
      <w:pPr>
        <w:numPr>
          <w:ilvl w:val="1"/>
          <w:numId w:val="2"/>
        </w:numPr>
        <w:spacing w:before="312" w:beforeLines="100" w:after="312" w:afterLines="100"/>
        <w:outlineLvl w:val="0"/>
        <w:rPr>
          <w:rFonts w:ascii="黑体" w:hAnsi="Times New Roman" w:eastAsia="黑体"/>
        </w:rPr>
      </w:pPr>
      <w:bookmarkStart w:id="142" w:name="_Toc33536660"/>
      <w:bookmarkEnd w:id="142"/>
      <w:bookmarkStart w:id="143" w:name="_Toc33536661"/>
      <w:bookmarkEnd w:id="143"/>
      <w:bookmarkStart w:id="144" w:name="_Toc229325429"/>
      <w:bookmarkStart w:id="145" w:name="_Toc240535949"/>
      <w:r>
        <w:rPr>
          <w:rFonts w:hint="eastAsia" w:ascii="黑体" w:hAnsi="Times New Roman" w:eastAsia="黑体"/>
        </w:rPr>
        <w:t>采伐与更新</w:t>
      </w:r>
      <w:bookmarkEnd w:id="144"/>
      <w:bookmarkEnd w:id="145"/>
    </w:p>
    <w:p w14:paraId="6AC583F6">
      <w:pPr>
        <w:numPr>
          <w:ilvl w:val="2"/>
          <w:numId w:val="2"/>
        </w:numPr>
        <w:spacing w:before="156" w:beforeLines="50" w:after="156" w:afterLines="50"/>
        <w:outlineLvl w:val="1"/>
        <w:rPr>
          <w:rFonts w:ascii="黑体" w:hAnsi="Times New Roman" w:eastAsia="黑体"/>
        </w:rPr>
      </w:pPr>
      <w:bookmarkStart w:id="146" w:name="_Toc229325430"/>
      <w:r>
        <w:rPr>
          <w:rFonts w:hint="eastAsia" w:ascii="黑体" w:hAnsi="Times New Roman" w:eastAsia="黑体"/>
        </w:rPr>
        <w:t>森林采伐</w:t>
      </w:r>
      <w:bookmarkEnd w:id="146"/>
    </w:p>
    <w:p w14:paraId="3594026C">
      <w:pPr>
        <w:autoSpaceDE w:val="0"/>
        <w:autoSpaceDN w:val="0"/>
        <w:spacing w:line="240" w:lineRule="auto"/>
        <w:ind w:firstLine="525" w:firstLineChars="250"/>
        <w:jc w:val="left"/>
        <w:rPr>
          <w:rFonts w:ascii="Times New Roman" w:hAnsi="Times New Roman"/>
          <w:kern w:val="0"/>
          <w:szCs w:val="20"/>
        </w:rPr>
      </w:pPr>
      <w:bookmarkStart w:id="147" w:name="_Toc50365913"/>
      <w:bookmarkStart w:id="148" w:name="_Toc40695292"/>
      <w:bookmarkStart w:id="149" w:name="_Toc33536671"/>
      <w:bookmarkStart w:id="150" w:name="_Toc63146654"/>
      <w:r>
        <w:rPr>
          <w:rFonts w:hint="eastAsia" w:ascii="宋体" w:hAnsi="Times New Roman"/>
          <w:kern w:val="0"/>
          <w:szCs w:val="20"/>
        </w:rPr>
        <w:t>林木胸径达</w:t>
      </w:r>
      <w:r>
        <w:rPr>
          <w:rFonts w:ascii="Times New Roman" w:hAnsi="Times New Roman"/>
          <w:kern w:val="0"/>
          <w:szCs w:val="20"/>
        </w:rPr>
        <w:t>到30 cm以</w:t>
      </w:r>
      <w:r>
        <w:rPr>
          <w:rFonts w:hint="eastAsia" w:ascii="宋体" w:hAnsi="Times New Roman"/>
          <w:kern w:val="0"/>
          <w:szCs w:val="20"/>
        </w:rPr>
        <w:t>上，可进行主伐。采伐方式分为择伐和小面积</w:t>
      </w:r>
      <w:r>
        <w:rPr>
          <w:rFonts w:hint="eastAsia" w:ascii="宋体" w:hAnsi="宋体"/>
          <w:kern w:val="0"/>
        </w:rPr>
        <w:t>皆伐，</w:t>
      </w:r>
      <w:bookmarkStart w:id="151" w:name="OLE_LINK123"/>
      <w:bookmarkStart w:id="152" w:name="OLE_LINK122"/>
      <w:r>
        <w:rPr>
          <w:rFonts w:hint="eastAsia" w:ascii="宋体" w:hAnsi="宋体"/>
          <w:kern w:val="0"/>
        </w:rPr>
        <w:t>皆伐</w:t>
      </w:r>
      <w:r>
        <w:rPr>
          <w:rFonts w:hint="eastAsia" w:ascii="宋体" w:hAnsi="宋体" w:cs="FZSSK--GBK1-0"/>
          <w:kern w:val="0"/>
        </w:rPr>
        <w:t>面积不宜超</w:t>
      </w:r>
      <w:r>
        <w:rPr>
          <w:rFonts w:ascii="Times New Roman" w:hAnsi="Times New Roman"/>
          <w:kern w:val="0"/>
        </w:rPr>
        <w:t>过20 hm</w:t>
      </w:r>
      <w:r>
        <w:rPr>
          <w:rFonts w:ascii="Times New Roman" w:hAnsi="Times New Roman"/>
          <w:kern w:val="0"/>
          <w:vertAlign w:val="superscript"/>
        </w:rPr>
        <w:t>2</w:t>
      </w:r>
      <w:r>
        <w:rPr>
          <w:rFonts w:hint="eastAsia" w:ascii="Times New Roman" w:hAnsi="Times New Roman"/>
          <w:kern w:val="0"/>
        </w:rPr>
        <w:t>，</w:t>
      </w:r>
      <w:r>
        <w:rPr>
          <w:rFonts w:hint="eastAsia" w:ascii="宋体" w:hAnsi="Times New Roman"/>
          <w:kern w:val="0"/>
          <w:szCs w:val="20"/>
        </w:rPr>
        <w:t>采伐作业</w:t>
      </w:r>
      <w:r>
        <w:rPr>
          <w:rFonts w:hint="eastAsia" w:ascii="Times New Roman" w:hAnsi="Times New Roman"/>
          <w:kern w:val="0"/>
          <w:szCs w:val="20"/>
        </w:rPr>
        <w:t>按</w:t>
      </w:r>
      <w:r>
        <w:rPr>
          <w:rFonts w:ascii="Times New Roman" w:hAnsi="Times New Roman"/>
          <w:kern w:val="0"/>
          <w:szCs w:val="20"/>
        </w:rPr>
        <w:t>照GB/T 45088</w:t>
      </w:r>
      <w:r>
        <w:rPr>
          <w:rFonts w:hint="eastAsia" w:ascii="Times New Roman" w:hAnsi="Times New Roman"/>
          <w:kern w:val="0"/>
          <w:szCs w:val="20"/>
        </w:rPr>
        <w:t>规定</w:t>
      </w:r>
      <w:r>
        <w:rPr>
          <w:rFonts w:ascii="Times New Roman" w:hAnsi="Times New Roman"/>
          <w:kern w:val="0"/>
          <w:szCs w:val="20"/>
        </w:rPr>
        <w:t>执行</w:t>
      </w:r>
      <w:bookmarkEnd w:id="151"/>
      <w:bookmarkEnd w:id="152"/>
      <w:r>
        <w:rPr>
          <w:rFonts w:ascii="Times New Roman" w:hAnsi="Times New Roman"/>
          <w:kern w:val="0"/>
          <w:szCs w:val="20"/>
        </w:rPr>
        <w:t>。</w:t>
      </w:r>
    </w:p>
    <w:p w14:paraId="66E5C906">
      <w:pPr>
        <w:numPr>
          <w:ilvl w:val="2"/>
          <w:numId w:val="2"/>
        </w:numPr>
        <w:spacing w:before="156" w:beforeLines="50" w:after="156" w:afterLines="50"/>
        <w:outlineLvl w:val="1"/>
        <w:rPr>
          <w:rFonts w:ascii="黑体" w:hAnsi="Times New Roman" w:eastAsia="黑体"/>
        </w:rPr>
      </w:pPr>
      <w:bookmarkStart w:id="153" w:name="_Toc229325431"/>
      <w:r>
        <w:rPr>
          <w:rFonts w:ascii="黑体" w:hAnsi="Times New Roman" w:eastAsia="黑体"/>
        </w:rPr>
        <w:t>更新</w:t>
      </w:r>
      <w:bookmarkEnd w:id="153"/>
    </w:p>
    <w:p w14:paraId="5C46FBAD">
      <w:pPr>
        <w:autoSpaceDE w:val="0"/>
        <w:autoSpaceDN w:val="0"/>
        <w:ind w:firstLine="420" w:firstLineChars="200"/>
        <w:rPr>
          <w:rFonts w:hint="eastAsia" w:ascii="Times New Roman" w:hAnsi="Times New Roman"/>
        </w:rPr>
      </w:pPr>
      <w:r>
        <w:rPr>
          <w:rFonts w:hint="eastAsia" w:ascii="Times New Roman" w:hAnsi="Times New Roman"/>
        </w:rPr>
        <w:t>重新造林，执行本文件6和7的规定。</w:t>
      </w:r>
    </w:p>
    <w:p w14:paraId="65B00154">
      <w:pPr>
        <w:numPr>
          <w:ilvl w:val="1"/>
          <w:numId w:val="2"/>
        </w:numPr>
        <w:spacing w:before="312" w:beforeLines="100" w:after="312" w:afterLines="100"/>
        <w:outlineLvl w:val="0"/>
        <w:rPr>
          <w:rFonts w:ascii="黑体" w:hAnsi="Times New Roman" w:eastAsia="黑体"/>
        </w:rPr>
      </w:pPr>
      <w:r>
        <w:rPr>
          <w:rFonts w:hint="eastAsia" w:ascii="黑体" w:hAnsi="Times New Roman" w:eastAsia="黑体"/>
          <w:lang w:val="en-US" w:eastAsia="zh-CN"/>
        </w:rPr>
        <w:t>病虫害防治</w:t>
      </w:r>
    </w:p>
    <w:p w14:paraId="201D8BDC">
      <w:pPr>
        <w:autoSpaceDE w:val="0"/>
        <w:autoSpaceDN w:val="0"/>
        <w:ind w:firstLine="420" w:firstLineChars="200"/>
        <w:rPr>
          <w:rFonts w:hint="eastAsia" w:ascii="Times New Roman" w:hAnsi="Times New Roman"/>
        </w:rPr>
      </w:pPr>
      <w:r>
        <w:rPr>
          <w:rFonts w:hint="eastAsia" w:ascii="Times New Roman" w:hAnsi="Times New Roman"/>
        </w:rPr>
        <w:t>有少量芽虫取食</w:t>
      </w:r>
      <w:r>
        <w:rPr>
          <w:rFonts w:hint="eastAsia" w:ascii="Times New Roman" w:hAnsi="Times New Roman"/>
          <w:lang w:val="en-US" w:eastAsia="zh-CN"/>
        </w:rPr>
        <w:t>叶片</w:t>
      </w:r>
      <w:r>
        <w:rPr>
          <w:rFonts w:hint="eastAsia" w:ascii="Times New Roman" w:hAnsi="Times New Roman"/>
        </w:rPr>
        <w:t>，可用</w:t>
      </w:r>
      <w:r>
        <w:rPr>
          <w:rFonts w:hint="eastAsia" w:ascii="Times New Roman" w:hAnsi="Times New Roman"/>
          <w:lang w:val="en-US" w:eastAsia="zh-CN"/>
        </w:rPr>
        <w:t>杀虫剂</w:t>
      </w:r>
      <w:r>
        <w:rPr>
          <w:rFonts w:hint="eastAsia" w:ascii="Times New Roman" w:hAnsi="Times New Roman"/>
        </w:rPr>
        <w:t>喷洒。农药使用应符合GB/T 8321规定要求。</w:t>
      </w:r>
    </w:p>
    <w:p w14:paraId="4D033A78">
      <w:pPr>
        <w:numPr>
          <w:ilvl w:val="1"/>
          <w:numId w:val="2"/>
        </w:numPr>
        <w:spacing w:before="312" w:beforeLines="100" w:after="312" w:afterLines="100"/>
        <w:outlineLvl w:val="0"/>
        <w:rPr>
          <w:rFonts w:ascii="黑体" w:hAnsi="Times New Roman" w:eastAsia="黑体"/>
        </w:rPr>
      </w:pPr>
      <w:bookmarkStart w:id="154" w:name="_Toc240535950"/>
      <w:bookmarkStart w:id="155" w:name="_Toc229325443"/>
      <w:r>
        <w:rPr>
          <w:rFonts w:ascii="黑体" w:hAnsi="Times New Roman" w:eastAsia="黑体"/>
        </w:rPr>
        <w:t>档案管理</w:t>
      </w:r>
      <w:bookmarkEnd w:id="154"/>
      <w:bookmarkEnd w:id="155"/>
    </w:p>
    <w:p w14:paraId="0D15AF13">
      <w:pPr>
        <w:numPr>
          <w:ilvl w:val="2"/>
          <w:numId w:val="2"/>
        </w:numPr>
        <w:spacing w:before="156" w:beforeLines="50" w:after="156" w:afterLines="50"/>
        <w:outlineLvl w:val="1"/>
        <w:rPr>
          <w:rFonts w:ascii="黑体" w:hAnsi="Times New Roman" w:eastAsia="黑体"/>
        </w:rPr>
      </w:pPr>
      <w:bookmarkStart w:id="156" w:name="_Toc229325444"/>
      <w:r>
        <w:rPr>
          <w:rFonts w:ascii="黑体" w:hAnsi="Times New Roman" w:eastAsia="黑体"/>
        </w:rPr>
        <w:t>档案内容</w:t>
      </w:r>
      <w:bookmarkEnd w:id="156"/>
    </w:p>
    <w:bookmarkEnd w:id="147"/>
    <w:bookmarkEnd w:id="148"/>
    <w:bookmarkEnd w:id="149"/>
    <w:bookmarkEnd w:id="150"/>
    <w:p w14:paraId="60C7986B">
      <w:pPr>
        <w:widowControl/>
        <w:autoSpaceDE w:val="0"/>
        <w:autoSpaceDN w:val="0"/>
        <w:ind w:firstLine="420" w:firstLineChars="200"/>
        <w:rPr>
          <w:rFonts w:ascii="Times New Roman" w:hAnsi="Times New Roman"/>
          <w:kern w:val="0"/>
          <w:szCs w:val="20"/>
        </w:rPr>
      </w:pPr>
      <w:r>
        <w:rPr>
          <w:rFonts w:ascii="Times New Roman" w:hAnsi="Times New Roman"/>
          <w:kern w:val="0"/>
          <w:szCs w:val="20"/>
        </w:rPr>
        <w:t>参照GB/T 15776和GB/T 15781规定</w:t>
      </w:r>
      <w:r>
        <w:rPr>
          <w:rFonts w:hint="eastAsia" w:ascii="Times New Roman" w:hAnsi="Times New Roman"/>
          <w:kern w:val="0"/>
          <w:szCs w:val="20"/>
        </w:rPr>
        <w:t>，</w:t>
      </w:r>
      <w:r>
        <w:rPr>
          <w:rFonts w:ascii="Times New Roman" w:hAnsi="Times New Roman"/>
          <w:kern w:val="0"/>
          <w:szCs w:val="20"/>
        </w:rPr>
        <w:t>建立档案</w:t>
      </w:r>
      <w:r>
        <w:rPr>
          <w:rFonts w:hint="eastAsia" w:ascii="Times New Roman" w:hAnsi="Times New Roman"/>
          <w:kern w:val="0"/>
          <w:szCs w:val="20"/>
        </w:rPr>
        <w:t>。</w:t>
      </w:r>
      <w:r>
        <w:rPr>
          <w:rFonts w:ascii="Times New Roman" w:hAnsi="Times New Roman"/>
          <w:kern w:val="0"/>
          <w:szCs w:val="20"/>
        </w:rPr>
        <w:t>内容包括：经营实体基本情况、各次作业设计、施工内容、质量要求、施工时间、施工投入、检查验收结果、调查记录、照片、</w:t>
      </w:r>
      <w:r>
        <w:rPr>
          <w:rFonts w:hint="eastAsia" w:ascii="Times New Roman" w:hAnsi="Times New Roman"/>
          <w:kern w:val="0"/>
          <w:szCs w:val="20"/>
        </w:rPr>
        <w:t>会议记录和财务报表</w:t>
      </w:r>
      <w:r>
        <w:rPr>
          <w:rFonts w:ascii="Times New Roman" w:hAnsi="Times New Roman"/>
          <w:kern w:val="0"/>
          <w:szCs w:val="20"/>
        </w:rPr>
        <w:t>等有关资料。</w:t>
      </w:r>
    </w:p>
    <w:p w14:paraId="032A4542">
      <w:pPr>
        <w:numPr>
          <w:ilvl w:val="2"/>
          <w:numId w:val="2"/>
        </w:numPr>
        <w:spacing w:before="156" w:beforeLines="50" w:after="156" w:afterLines="50"/>
        <w:outlineLvl w:val="1"/>
        <w:rPr>
          <w:rFonts w:ascii="黑体" w:hAnsi="Times New Roman" w:eastAsia="黑体"/>
        </w:rPr>
      </w:pPr>
      <w:bookmarkStart w:id="157" w:name="_Toc229325445"/>
      <w:r>
        <w:rPr>
          <w:rFonts w:hint="eastAsia" w:ascii="黑体" w:hAnsi="Times New Roman" w:eastAsia="黑体"/>
        </w:rPr>
        <w:t>管理要求</w:t>
      </w:r>
      <w:bookmarkEnd w:id="157"/>
    </w:p>
    <w:p w14:paraId="751621FB">
      <w:pPr>
        <w:pStyle w:val="56"/>
        <w:ind w:firstLine="420"/>
        <w:rPr>
          <w:rFonts w:cs="宋体"/>
          <w:szCs w:val="21"/>
        </w:rPr>
      </w:pPr>
      <w:r>
        <w:rPr>
          <w:rFonts w:hint="eastAsia" w:cs="宋体"/>
          <w:szCs w:val="21"/>
        </w:rPr>
        <w:t>记录准确，资料完整，原件保存，分类归卷，建立制度、专人管理、长期保存。全部资料应同时保存纸质版本与电子版本。</w:t>
      </w:r>
    </w:p>
    <w:p w14:paraId="20C4D1D8">
      <w:pPr>
        <w:pStyle w:val="56"/>
        <w:ind w:firstLine="420"/>
        <w:rPr>
          <w:rFonts w:cs="宋体"/>
          <w:szCs w:val="21"/>
        </w:rPr>
      </w:pPr>
    </w:p>
    <w:p w14:paraId="570D5F6B">
      <w:pPr>
        <w:pStyle w:val="56"/>
        <w:ind w:firstLine="420"/>
        <w:rPr>
          <w:rFonts w:cs="宋体"/>
          <w:szCs w:val="21"/>
        </w:rPr>
      </w:pPr>
    </w:p>
    <w:p w14:paraId="66886396">
      <w:pPr>
        <w:pStyle w:val="56"/>
        <w:ind w:firstLine="420"/>
        <w:rPr>
          <w:rFonts w:cs="宋体"/>
          <w:szCs w:val="21"/>
        </w:rPr>
      </w:pPr>
      <w:r>
        <mc:AlternateContent>
          <mc:Choice Requires="wps">
            <w:drawing>
              <wp:anchor distT="0" distB="0" distL="114300" distR="114300" simplePos="0" relativeHeight="251661312" behindDoc="0" locked="0" layoutInCell="1" allowOverlap="1">
                <wp:simplePos x="0" y="0"/>
                <wp:positionH relativeFrom="column">
                  <wp:posOffset>1858645</wp:posOffset>
                </wp:positionH>
                <wp:positionV relativeFrom="paragraph">
                  <wp:posOffset>93345</wp:posOffset>
                </wp:positionV>
                <wp:extent cx="232346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232346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46.35pt;margin-top:7.35pt;height:0.05pt;width:182.95pt;z-index:251661312;mso-width-relative:page;mso-height-relative:page;" filled="f" stroked="t" coordsize="21600,21600" o:gfxdata="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uN&#10;H47XAAAACQEAAA8AAAAAAAAAAQAgAAAAIgAAAGRycy9kb3ducmV2LnhtbFBLAQIUABQAAAAIAIdO&#10;4kCqRmFr6wEAANoDAAAOAAAAAAAAAAEAIAAAACYBAABkcnMvZTJvRG9jLnhtbFBLBQYAAAAABgAG&#10;AFkBAACDBQAAAAA=&#10;">
                <v:fill on="f" focussize="0,0"/>
                <v:stroke color="#000000" joinstyle="round"/>
                <v:imagedata o:title=""/>
                <o:lock v:ext="edit" aspectratio="f"/>
              </v:line>
            </w:pict>
          </mc:Fallback>
        </mc:AlternateContent>
      </w:r>
    </w:p>
    <w:p w14:paraId="777361E9">
      <w:pPr>
        <w:pStyle w:val="56"/>
        <w:ind w:firstLine="0" w:firstLineChars="0"/>
        <w:rPr>
          <w:rFonts w:cs="宋体"/>
          <w:szCs w:val="21"/>
        </w:rPr>
      </w:pPr>
    </w:p>
    <w:sectPr>
      <w:pgSz w:w="11906" w:h="16838"/>
      <w:pgMar w:top="1928"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FZSSK--GBK1-0">
    <w:altName w:val="等线"/>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F05A5">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7AF12">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4201587"/>
      <w:docPartObj>
        <w:docPartGallery w:val="autotext"/>
      </w:docPartObj>
    </w:sdtPr>
    <w:sdtContent>
      <w:p w14:paraId="60756B91">
        <w:pPr>
          <w:pStyle w:val="17"/>
          <w:spacing w:before="120" w:after="120"/>
        </w:pPr>
        <w:r>
          <w:fldChar w:fldCharType="begin"/>
        </w:r>
        <w:r>
          <w:instrText xml:space="preserve">PAGE   \* MERGEFORMAT</w:instrText>
        </w:r>
        <w:r>
          <w:fldChar w:fldCharType="separate"/>
        </w:r>
        <w:r>
          <w:rPr>
            <w:lang w:val="zh-CN"/>
          </w:rPr>
          <w:t>2</w:t>
        </w:r>
        <w:r>
          <w:fldChar w:fldCharType="end"/>
        </w:r>
      </w:p>
    </w:sdtContent>
  </w:sdt>
  <w:p w14:paraId="1C7AF07C">
    <w:pPr>
      <w:pStyle w:val="5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3395C">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17A02">
    <w:pPr>
      <w:pStyle w:val="1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9AC6B">
    <w:pPr>
      <w:pStyle w:val="61"/>
    </w:pPr>
    <w:r>
      <w:fldChar w:fldCharType="begin"/>
    </w:r>
    <w:r>
      <w:instrText xml:space="preserve"> STYLEREF  标准文件_文件编号  \* MERGEFORMAT </w:instrText>
    </w:r>
    <w:r>
      <w:fldChar w:fldCharType="separate"/>
    </w:r>
    <w:r>
      <w:t>DB 44/T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92F8F">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44/T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D7956D1"/>
    <w:multiLevelType w:val="multilevel"/>
    <w:tmpl w:val="4D7956D1"/>
    <w:lvl w:ilvl="0" w:tentative="0">
      <w:start w:val="1"/>
      <w:numFmt w:val="decimal"/>
      <w:suff w:val="nothing"/>
      <w:lvlText w:val="表%1　"/>
      <w:lvlJc w:val="left"/>
      <w:pPr>
        <w:ind w:left="0" w:firstLine="0"/>
      </w:pPr>
      <w:rPr>
        <w:rFonts w:hint="default" w:ascii="Times New Roman" w:hAnsi="Times New Roman" w:cs="Times New Roman"/>
      </w:rPr>
    </w:lvl>
    <w:lvl w:ilvl="1" w:tentative="0">
      <w:start w:val="1"/>
      <w:numFmt w:val="decimal"/>
      <w:lvlText w:val="%1.%2"/>
      <w:lvlJc w:val="left"/>
      <w:pPr>
        <w:tabs>
          <w:tab w:val="left" w:pos="992"/>
        </w:tabs>
        <w:ind w:left="992" w:hanging="567"/>
      </w:pPr>
      <w:rPr>
        <w:rFonts w:hint="default" w:ascii="Times New Roman" w:hAnsi="Times New Roman" w:cs="Times New Roman"/>
      </w:rPr>
    </w:lvl>
    <w:lvl w:ilvl="2" w:tentative="0">
      <w:start w:val="1"/>
      <w:numFmt w:val="decimal"/>
      <w:lvlText w:val="%1.%2.%3"/>
      <w:lvlJc w:val="left"/>
      <w:pPr>
        <w:tabs>
          <w:tab w:val="left" w:pos="1417"/>
        </w:tabs>
        <w:ind w:left="1417" w:hanging="567"/>
      </w:pPr>
      <w:rPr>
        <w:rFonts w:hint="default" w:ascii="Times New Roman" w:hAnsi="Times New Roman" w:cs="Times New Roman"/>
      </w:rPr>
    </w:lvl>
    <w:lvl w:ilvl="3" w:tentative="0">
      <w:start w:val="1"/>
      <w:numFmt w:val="decimal"/>
      <w:lvlText w:val="%1.%2.%3.%4"/>
      <w:lvlJc w:val="left"/>
      <w:pPr>
        <w:tabs>
          <w:tab w:val="left" w:pos="1984"/>
        </w:tabs>
        <w:ind w:left="1984" w:hanging="708"/>
      </w:pPr>
      <w:rPr>
        <w:rFonts w:hint="default" w:ascii="Times New Roman" w:hAnsi="Times New Roman" w:cs="Times New Roman"/>
      </w:rPr>
    </w:lvl>
    <w:lvl w:ilvl="4" w:tentative="0">
      <w:start w:val="1"/>
      <w:numFmt w:val="decimal"/>
      <w:lvlText w:val="%1.%2.%3.%4.%5"/>
      <w:lvlJc w:val="left"/>
      <w:pPr>
        <w:tabs>
          <w:tab w:val="left" w:pos="2551"/>
        </w:tabs>
        <w:ind w:left="2551" w:hanging="850"/>
      </w:pPr>
      <w:rPr>
        <w:rFonts w:hint="default" w:ascii="Times New Roman" w:hAnsi="Times New Roman" w:cs="Times New Roman"/>
      </w:rPr>
    </w:lvl>
    <w:lvl w:ilvl="5" w:tentative="0">
      <w:start w:val="1"/>
      <w:numFmt w:val="decimal"/>
      <w:lvlText w:val="%1.%2.%3.%4.%5.%6"/>
      <w:lvlJc w:val="left"/>
      <w:pPr>
        <w:tabs>
          <w:tab w:val="left" w:pos="3260"/>
        </w:tabs>
        <w:ind w:left="3260" w:hanging="1134"/>
      </w:pPr>
      <w:rPr>
        <w:rFonts w:hint="default" w:ascii="Times New Roman" w:hAnsi="Times New Roman" w:cs="Times New Roman"/>
      </w:rPr>
    </w:lvl>
    <w:lvl w:ilvl="6" w:tentative="0">
      <w:start w:val="1"/>
      <w:numFmt w:val="decimal"/>
      <w:lvlText w:val="%1.%2.%3.%4.%5.%6.%7"/>
      <w:lvlJc w:val="left"/>
      <w:pPr>
        <w:tabs>
          <w:tab w:val="left" w:pos="3827"/>
        </w:tabs>
        <w:ind w:left="3827" w:hanging="1276"/>
      </w:pPr>
      <w:rPr>
        <w:rFonts w:hint="default" w:ascii="Times New Roman" w:hAnsi="Times New Roman" w:cs="Times New Roman"/>
      </w:rPr>
    </w:lvl>
    <w:lvl w:ilvl="7" w:tentative="0">
      <w:start w:val="1"/>
      <w:numFmt w:val="decimal"/>
      <w:lvlText w:val="%1.%2.%3.%4.%5.%6.%7.%8"/>
      <w:lvlJc w:val="left"/>
      <w:pPr>
        <w:tabs>
          <w:tab w:val="left" w:pos="4394"/>
        </w:tabs>
        <w:ind w:left="4394" w:hanging="1418"/>
      </w:pPr>
      <w:rPr>
        <w:rFonts w:hint="default" w:ascii="Times New Roman" w:hAnsi="Times New Roman" w:cs="Times New Roman"/>
      </w:rPr>
    </w:lvl>
    <w:lvl w:ilvl="8" w:tentative="0">
      <w:start w:val="1"/>
      <w:numFmt w:val="decimal"/>
      <w:lvlText w:val="%1.%2.%3.%4.%5.%6.%7.%8.%9"/>
      <w:lvlJc w:val="left"/>
      <w:pPr>
        <w:tabs>
          <w:tab w:val="left" w:pos="5102"/>
        </w:tabs>
        <w:ind w:left="5102" w:hanging="1700"/>
      </w:pPr>
      <w:rPr>
        <w:rFonts w:hint="default" w:ascii="Times New Roman" w:hAnsi="Times New Roman" w:cs="Times New Roman"/>
      </w:rPr>
    </w:lvl>
  </w:abstractNum>
  <w:abstractNum w:abstractNumId="16">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397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142"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3"/>
  </w:num>
  <w:num w:numId="7">
    <w:abstractNumId w:val="8"/>
  </w:num>
  <w:num w:numId="8">
    <w:abstractNumId w:val="3"/>
  </w:num>
  <w:num w:numId="9">
    <w:abstractNumId w:val="9"/>
  </w:num>
  <w:num w:numId="10">
    <w:abstractNumId w:val="17"/>
  </w:num>
  <w:num w:numId="11">
    <w:abstractNumId w:val="26"/>
  </w:num>
  <w:num w:numId="12">
    <w:abstractNumId w:val="11"/>
  </w:num>
  <w:num w:numId="13">
    <w:abstractNumId w:val="12"/>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0"/>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4"/>
  </w:num>
  <w:num w:numId="30">
    <w:abstractNumId w:val="25"/>
  </w:num>
  <w:num w:numId="31">
    <w:abstractNumId w:val="23"/>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attachedTemplate r:id="rId1"/>
  <w:revisionView w:markup="0"/>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zOGNkM2E5ZjI0YTEwNTBjOWE1YmY2NzA2Njk0YWUifQ=="/>
  </w:docVars>
  <w:rsids>
    <w:rsidRoot w:val="0066430E"/>
    <w:rsid w:val="0000040A"/>
    <w:rsid w:val="00000A94"/>
    <w:rsid w:val="00001972"/>
    <w:rsid w:val="00001D9A"/>
    <w:rsid w:val="000045F4"/>
    <w:rsid w:val="00004E70"/>
    <w:rsid w:val="00007B3A"/>
    <w:rsid w:val="000107E0"/>
    <w:rsid w:val="00011FDE"/>
    <w:rsid w:val="00012FFD"/>
    <w:rsid w:val="00014162"/>
    <w:rsid w:val="00014340"/>
    <w:rsid w:val="00014AA3"/>
    <w:rsid w:val="000151F8"/>
    <w:rsid w:val="00016A9C"/>
    <w:rsid w:val="000206F5"/>
    <w:rsid w:val="00022184"/>
    <w:rsid w:val="00022762"/>
    <w:rsid w:val="000238E0"/>
    <w:rsid w:val="000239E5"/>
    <w:rsid w:val="00024067"/>
    <w:rsid w:val="0002425C"/>
    <w:rsid w:val="0002462D"/>
    <w:rsid w:val="000249DB"/>
    <w:rsid w:val="0002595E"/>
    <w:rsid w:val="000303C3"/>
    <w:rsid w:val="000326F0"/>
    <w:rsid w:val="000328D5"/>
    <w:rsid w:val="000331D3"/>
    <w:rsid w:val="000346A5"/>
    <w:rsid w:val="000359C3"/>
    <w:rsid w:val="00035A7D"/>
    <w:rsid w:val="000365ED"/>
    <w:rsid w:val="0004200A"/>
    <w:rsid w:val="0004249A"/>
    <w:rsid w:val="00043282"/>
    <w:rsid w:val="00044286"/>
    <w:rsid w:val="00044EA4"/>
    <w:rsid w:val="00047F28"/>
    <w:rsid w:val="000503AA"/>
    <w:rsid w:val="000506A1"/>
    <w:rsid w:val="000515DD"/>
    <w:rsid w:val="000522EB"/>
    <w:rsid w:val="0005265A"/>
    <w:rsid w:val="00052CBE"/>
    <w:rsid w:val="000539DD"/>
    <w:rsid w:val="00053BD3"/>
    <w:rsid w:val="000556ED"/>
    <w:rsid w:val="00055FE2"/>
    <w:rsid w:val="0005616F"/>
    <w:rsid w:val="00060C2E"/>
    <w:rsid w:val="00061033"/>
    <w:rsid w:val="0006105E"/>
    <w:rsid w:val="000619E9"/>
    <w:rsid w:val="000622D4"/>
    <w:rsid w:val="0006357D"/>
    <w:rsid w:val="000671AB"/>
    <w:rsid w:val="00067F1E"/>
    <w:rsid w:val="00071CC0"/>
    <w:rsid w:val="0007379A"/>
    <w:rsid w:val="00073C8C"/>
    <w:rsid w:val="00077B64"/>
    <w:rsid w:val="00080A1C"/>
    <w:rsid w:val="00082317"/>
    <w:rsid w:val="00082CF2"/>
    <w:rsid w:val="00083001"/>
    <w:rsid w:val="0008341F"/>
    <w:rsid w:val="00083D2C"/>
    <w:rsid w:val="00086AA1"/>
    <w:rsid w:val="00087A77"/>
    <w:rsid w:val="00090CA6"/>
    <w:rsid w:val="00092B8A"/>
    <w:rsid w:val="00092FB0"/>
    <w:rsid w:val="000934C5"/>
    <w:rsid w:val="00093D25"/>
    <w:rsid w:val="00093DAB"/>
    <w:rsid w:val="00094D73"/>
    <w:rsid w:val="00094E45"/>
    <w:rsid w:val="00096D63"/>
    <w:rsid w:val="000A0B60"/>
    <w:rsid w:val="000A0EB8"/>
    <w:rsid w:val="000A126B"/>
    <w:rsid w:val="000A19FC"/>
    <w:rsid w:val="000A296B"/>
    <w:rsid w:val="000A2CEA"/>
    <w:rsid w:val="000A4DFF"/>
    <w:rsid w:val="000A7120"/>
    <w:rsid w:val="000A7311"/>
    <w:rsid w:val="000B060F"/>
    <w:rsid w:val="000B1592"/>
    <w:rsid w:val="000B1FF2"/>
    <w:rsid w:val="000B3CDA"/>
    <w:rsid w:val="000B5630"/>
    <w:rsid w:val="000B6A0B"/>
    <w:rsid w:val="000C0F6C"/>
    <w:rsid w:val="000C11DB"/>
    <w:rsid w:val="000C1492"/>
    <w:rsid w:val="000C2FBD"/>
    <w:rsid w:val="000C4B41"/>
    <w:rsid w:val="000C57D6"/>
    <w:rsid w:val="000C6362"/>
    <w:rsid w:val="000C73B3"/>
    <w:rsid w:val="000C7666"/>
    <w:rsid w:val="000D0A9C"/>
    <w:rsid w:val="000D1795"/>
    <w:rsid w:val="000D329A"/>
    <w:rsid w:val="000D4B9C"/>
    <w:rsid w:val="000D4D0A"/>
    <w:rsid w:val="000D4EB6"/>
    <w:rsid w:val="000D753B"/>
    <w:rsid w:val="000E4C9E"/>
    <w:rsid w:val="000E6FD7"/>
    <w:rsid w:val="000E7220"/>
    <w:rsid w:val="000F06E1"/>
    <w:rsid w:val="000F0E3C"/>
    <w:rsid w:val="000F19D5"/>
    <w:rsid w:val="000F4AEA"/>
    <w:rsid w:val="000F633F"/>
    <w:rsid w:val="000F67E9"/>
    <w:rsid w:val="00104926"/>
    <w:rsid w:val="00106CEB"/>
    <w:rsid w:val="00107BDF"/>
    <w:rsid w:val="00107FA6"/>
    <w:rsid w:val="00111F1C"/>
    <w:rsid w:val="00113B1E"/>
    <w:rsid w:val="00114CBA"/>
    <w:rsid w:val="00114FCD"/>
    <w:rsid w:val="00115392"/>
    <w:rsid w:val="0011711C"/>
    <w:rsid w:val="00117B9A"/>
    <w:rsid w:val="0012059C"/>
    <w:rsid w:val="00122C8F"/>
    <w:rsid w:val="00124E4F"/>
    <w:rsid w:val="001260B7"/>
    <w:rsid w:val="001261D4"/>
    <w:rsid w:val="001265CB"/>
    <w:rsid w:val="001300D8"/>
    <w:rsid w:val="0013107B"/>
    <w:rsid w:val="001321C6"/>
    <w:rsid w:val="001325C4"/>
    <w:rsid w:val="00133010"/>
    <w:rsid w:val="001338EE"/>
    <w:rsid w:val="00133AAE"/>
    <w:rsid w:val="00135323"/>
    <w:rsid w:val="001356C4"/>
    <w:rsid w:val="00141114"/>
    <w:rsid w:val="00142969"/>
    <w:rsid w:val="00143C15"/>
    <w:rsid w:val="001446C2"/>
    <w:rsid w:val="001457E7"/>
    <w:rsid w:val="00145D9D"/>
    <w:rsid w:val="00146388"/>
    <w:rsid w:val="001529E5"/>
    <w:rsid w:val="00152B31"/>
    <w:rsid w:val="00153C7E"/>
    <w:rsid w:val="001554F4"/>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180F"/>
    <w:rsid w:val="00181B4E"/>
    <w:rsid w:val="001852C9"/>
    <w:rsid w:val="00190087"/>
    <w:rsid w:val="001913C4"/>
    <w:rsid w:val="0019348F"/>
    <w:rsid w:val="00193A07"/>
    <w:rsid w:val="00194C95"/>
    <w:rsid w:val="00195C34"/>
    <w:rsid w:val="00196EF5"/>
    <w:rsid w:val="00197821"/>
    <w:rsid w:val="001A10DC"/>
    <w:rsid w:val="001A11A2"/>
    <w:rsid w:val="001A1A53"/>
    <w:rsid w:val="001A234A"/>
    <w:rsid w:val="001A2E26"/>
    <w:rsid w:val="001A4CF3"/>
    <w:rsid w:val="001A76A4"/>
    <w:rsid w:val="001A7B11"/>
    <w:rsid w:val="001B0522"/>
    <w:rsid w:val="001B06E8"/>
    <w:rsid w:val="001B5A79"/>
    <w:rsid w:val="001B693B"/>
    <w:rsid w:val="001B71D0"/>
    <w:rsid w:val="001B71EE"/>
    <w:rsid w:val="001C04A8"/>
    <w:rsid w:val="001C1169"/>
    <w:rsid w:val="001C2C03"/>
    <w:rsid w:val="001C3AE9"/>
    <w:rsid w:val="001C42F7"/>
    <w:rsid w:val="001C49E5"/>
    <w:rsid w:val="001C53F7"/>
    <w:rsid w:val="001C680C"/>
    <w:rsid w:val="001C7FEA"/>
    <w:rsid w:val="001D0499"/>
    <w:rsid w:val="001D051D"/>
    <w:rsid w:val="001D0BBE"/>
    <w:rsid w:val="001D0ED4"/>
    <w:rsid w:val="001D212F"/>
    <w:rsid w:val="001D29D7"/>
    <w:rsid w:val="001D2DE7"/>
    <w:rsid w:val="001D411C"/>
    <w:rsid w:val="001D5102"/>
    <w:rsid w:val="001E0EA5"/>
    <w:rsid w:val="001E1620"/>
    <w:rsid w:val="001E19E9"/>
    <w:rsid w:val="001E1B6A"/>
    <w:rsid w:val="001E2484"/>
    <w:rsid w:val="001E3CC4"/>
    <w:rsid w:val="001E4882"/>
    <w:rsid w:val="001E73AB"/>
    <w:rsid w:val="001F092D"/>
    <w:rsid w:val="001F143A"/>
    <w:rsid w:val="001F1605"/>
    <w:rsid w:val="001F2508"/>
    <w:rsid w:val="001F4816"/>
    <w:rsid w:val="001F4EE9"/>
    <w:rsid w:val="001F69B4"/>
    <w:rsid w:val="001F77C7"/>
    <w:rsid w:val="001F7B9A"/>
    <w:rsid w:val="00200183"/>
    <w:rsid w:val="00200333"/>
    <w:rsid w:val="0020107D"/>
    <w:rsid w:val="00202919"/>
    <w:rsid w:val="00202AA4"/>
    <w:rsid w:val="002031F7"/>
    <w:rsid w:val="002040E6"/>
    <w:rsid w:val="0020527B"/>
    <w:rsid w:val="00205816"/>
    <w:rsid w:val="00205906"/>
    <w:rsid w:val="00205F2C"/>
    <w:rsid w:val="00206B03"/>
    <w:rsid w:val="00210B15"/>
    <w:rsid w:val="002142EA"/>
    <w:rsid w:val="00214BC4"/>
    <w:rsid w:val="00215CEA"/>
    <w:rsid w:val="002204BB"/>
    <w:rsid w:val="002211CA"/>
    <w:rsid w:val="002212ED"/>
    <w:rsid w:val="00221B79"/>
    <w:rsid w:val="00221C6B"/>
    <w:rsid w:val="002253A1"/>
    <w:rsid w:val="00225CF8"/>
    <w:rsid w:val="0022794E"/>
    <w:rsid w:val="002303A4"/>
    <w:rsid w:val="00233300"/>
    <w:rsid w:val="00233D64"/>
    <w:rsid w:val="0023482A"/>
    <w:rsid w:val="002359CB"/>
    <w:rsid w:val="002372AA"/>
    <w:rsid w:val="00243540"/>
    <w:rsid w:val="00243C4C"/>
    <w:rsid w:val="0024497B"/>
    <w:rsid w:val="0024515B"/>
    <w:rsid w:val="00246021"/>
    <w:rsid w:val="0024666E"/>
    <w:rsid w:val="00247F52"/>
    <w:rsid w:val="00250B25"/>
    <w:rsid w:val="00250BBE"/>
    <w:rsid w:val="002515C2"/>
    <w:rsid w:val="0025194F"/>
    <w:rsid w:val="00252A07"/>
    <w:rsid w:val="00253DE6"/>
    <w:rsid w:val="00254855"/>
    <w:rsid w:val="0026148A"/>
    <w:rsid w:val="00262696"/>
    <w:rsid w:val="00262E80"/>
    <w:rsid w:val="00263D25"/>
    <w:rsid w:val="0026411E"/>
    <w:rsid w:val="002643C3"/>
    <w:rsid w:val="00264A0C"/>
    <w:rsid w:val="00264C70"/>
    <w:rsid w:val="00266EEB"/>
    <w:rsid w:val="00266FA5"/>
    <w:rsid w:val="00267EF4"/>
    <w:rsid w:val="00270CB8"/>
    <w:rsid w:val="00272B08"/>
    <w:rsid w:val="002771AC"/>
    <w:rsid w:val="00281BB8"/>
    <w:rsid w:val="00281E9E"/>
    <w:rsid w:val="00282405"/>
    <w:rsid w:val="00285170"/>
    <w:rsid w:val="00285361"/>
    <w:rsid w:val="00292160"/>
    <w:rsid w:val="00292D60"/>
    <w:rsid w:val="00293B30"/>
    <w:rsid w:val="00294D34"/>
    <w:rsid w:val="00294E3B"/>
    <w:rsid w:val="00296193"/>
    <w:rsid w:val="00296C66"/>
    <w:rsid w:val="00296EBE"/>
    <w:rsid w:val="002974E3"/>
    <w:rsid w:val="002A084B"/>
    <w:rsid w:val="002A1260"/>
    <w:rsid w:val="002A1589"/>
    <w:rsid w:val="002A1608"/>
    <w:rsid w:val="002A25DC"/>
    <w:rsid w:val="002A2B9C"/>
    <w:rsid w:val="002A2BCD"/>
    <w:rsid w:val="002A3AAB"/>
    <w:rsid w:val="002A4CEA"/>
    <w:rsid w:val="002A5977"/>
    <w:rsid w:val="002A5A13"/>
    <w:rsid w:val="002A686A"/>
    <w:rsid w:val="002A757F"/>
    <w:rsid w:val="002A7F44"/>
    <w:rsid w:val="002B0C40"/>
    <w:rsid w:val="002B1966"/>
    <w:rsid w:val="002B4508"/>
    <w:rsid w:val="002B5779"/>
    <w:rsid w:val="002B6D9A"/>
    <w:rsid w:val="002B7332"/>
    <w:rsid w:val="002B7380"/>
    <w:rsid w:val="002B7F51"/>
    <w:rsid w:val="002C09E7"/>
    <w:rsid w:val="002C1E06"/>
    <w:rsid w:val="002C1E1C"/>
    <w:rsid w:val="002C2C02"/>
    <w:rsid w:val="002C3F07"/>
    <w:rsid w:val="002C5278"/>
    <w:rsid w:val="002C61C6"/>
    <w:rsid w:val="002C7EBB"/>
    <w:rsid w:val="002D06C1"/>
    <w:rsid w:val="002D0AC8"/>
    <w:rsid w:val="002D42B5"/>
    <w:rsid w:val="002D4F1A"/>
    <w:rsid w:val="002D6EC6"/>
    <w:rsid w:val="002D79AC"/>
    <w:rsid w:val="002E039D"/>
    <w:rsid w:val="002E040A"/>
    <w:rsid w:val="002E0F0B"/>
    <w:rsid w:val="002E4D5A"/>
    <w:rsid w:val="002E55A7"/>
    <w:rsid w:val="002E6326"/>
    <w:rsid w:val="002E718C"/>
    <w:rsid w:val="002E7902"/>
    <w:rsid w:val="002F1550"/>
    <w:rsid w:val="002F2E4B"/>
    <w:rsid w:val="002F30E0"/>
    <w:rsid w:val="002F35E4"/>
    <w:rsid w:val="002F3730"/>
    <w:rsid w:val="002F38E1"/>
    <w:rsid w:val="002F7AF6"/>
    <w:rsid w:val="00300E63"/>
    <w:rsid w:val="00302F5F"/>
    <w:rsid w:val="00303624"/>
    <w:rsid w:val="0030441D"/>
    <w:rsid w:val="00306063"/>
    <w:rsid w:val="00312A04"/>
    <w:rsid w:val="00313B85"/>
    <w:rsid w:val="00317988"/>
    <w:rsid w:val="003221B4"/>
    <w:rsid w:val="0032258D"/>
    <w:rsid w:val="00322E62"/>
    <w:rsid w:val="00324D13"/>
    <w:rsid w:val="00324D2A"/>
    <w:rsid w:val="00324EDD"/>
    <w:rsid w:val="003250BE"/>
    <w:rsid w:val="00326D18"/>
    <w:rsid w:val="00326DD2"/>
    <w:rsid w:val="003316CC"/>
    <w:rsid w:val="003325FB"/>
    <w:rsid w:val="00333084"/>
    <w:rsid w:val="003331E4"/>
    <w:rsid w:val="00336B31"/>
    <w:rsid w:val="00336C64"/>
    <w:rsid w:val="00337162"/>
    <w:rsid w:val="003401EC"/>
    <w:rsid w:val="0034194F"/>
    <w:rsid w:val="00344605"/>
    <w:rsid w:val="00345C1D"/>
    <w:rsid w:val="00346E18"/>
    <w:rsid w:val="003474AA"/>
    <w:rsid w:val="00350D1D"/>
    <w:rsid w:val="00352C83"/>
    <w:rsid w:val="003615D2"/>
    <w:rsid w:val="0036429C"/>
    <w:rsid w:val="0036499B"/>
    <w:rsid w:val="00364A53"/>
    <w:rsid w:val="00364CF9"/>
    <w:rsid w:val="003654CB"/>
    <w:rsid w:val="00365AA9"/>
    <w:rsid w:val="00365F86"/>
    <w:rsid w:val="00365F87"/>
    <w:rsid w:val="00366E89"/>
    <w:rsid w:val="003705F4"/>
    <w:rsid w:val="00370D58"/>
    <w:rsid w:val="00371316"/>
    <w:rsid w:val="00376033"/>
    <w:rsid w:val="00376713"/>
    <w:rsid w:val="0038043C"/>
    <w:rsid w:val="00380F9B"/>
    <w:rsid w:val="00381815"/>
    <w:rsid w:val="003819AF"/>
    <w:rsid w:val="003820E9"/>
    <w:rsid w:val="00382DE7"/>
    <w:rsid w:val="00384FFC"/>
    <w:rsid w:val="00385E56"/>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31FC"/>
    <w:rsid w:val="003A4077"/>
    <w:rsid w:val="003B09AD"/>
    <w:rsid w:val="003B1AD1"/>
    <w:rsid w:val="003B1F18"/>
    <w:rsid w:val="003B281A"/>
    <w:rsid w:val="003B4982"/>
    <w:rsid w:val="003B5BF0"/>
    <w:rsid w:val="003B60BF"/>
    <w:rsid w:val="003B6BE3"/>
    <w:rsid w:val="003C010C"/>
    <w:rsid w:val="003C0A6C"/>
    <w:rsid w:val="003C14F8"/>
    <w:rsid w:val="003C363E"/>
    <w:rsid w:val="003C45DB"/>
    <w:rsid w:val="003C5A43"/>
    <w:rsid w:val="003C6A16"/>
    <w:rsid w:val="003D0519"/>
    <w:rsid w:val="003D0FF6"/>
    <w:rsid w:val="003D262C"/>
    <w:rsid w:val="003D6D61"/>
    <w:rsid w:val="003D79C6"/>
    <w:rsid w:val="003E091D"/>
    <w:rsid w:val="003E1C53"/>
    <w:rsid w:val="003E2A69"/>
    <w:rsid w:val="003E2D49"/>
    <w:rsid w:val="003E2FD4"/>
    <w:rsid w:val="003E49F6"/>
    <w:rsid w:val="003E537D"/>
    <w:rsid w:val="003E660F"/>
    <w:rsid w:val="003F0841"/>
    <w:rsid w:val="003F23D3"/>
    <w:rsid w:val="003F3F08"/>
    <w:rsid w:val="003F49F1"/>
    <w:rsid w:val="003F6272"/>
    <w:rsid w:val="00400E72"/>
    <w:rsid w:val="00401400"/>
    <w:rsid w:val="00402653"/>
    <w:rsid w:val="004037AC"/>
    <w:rsid w:val="00404869"/>
    <w:rsid w:val="00405884"/>
    <w:rsid w:val="00407D39"/>
    <w:rsid w:val="00407DA8"/>
    <w:rsid w:val="00410894"/>
    <w:rsid w:val="0041477A"/>
    <w:rsid w:val="00414DC2"/>
    <w:rsid w:val="004167A3"/>
    <w:rsid w:val="0041731C"/>
    <w:rsid w:val="00420641"/>
    <w:rsid w:val="00432DAA"/>
    <w:rsid w:val="00434305"/>
    <w:rsid w:val="00435DF7"/>
    <w:rsid w:val="0044083F"/>
    <w:rsid w:val="00441AE7"/>
    <w:rsid w:val="00445574"/>
    <w:rsid w:val="004467FB"/>
    <w:rsid w:val="004504C5"/>
    <w:rsid w:val="004517A5"/>
    <w:rsid w:val="00452D6B"/>
    <w:rsid w:val="00454484"/>
    <w:rsid w:val="0045517B"/>
    <w:rsid w:val="00463B77"/>
    <w:rsid w:val="00463C7B"/>
    <w:rsid w:val="004644A6"/>
    <w:rsid w:val="004659BD"/>
    <w:rsid w:val="00466517"/>
    <w:rsid w:val="00467AE2"/>
    <w:rsid w:val="00470775"/>
    <w:rsid w:val="004725BD"/>
    <w:rsid w:val="0047353F"/>
    <w:rsid w:val="0047360D"/>
    <w:rsid w:val="004746B1"/>
    <w:rsid w:val="0047583F"/>
    <w:rsid w:val="00475DE8"/>
    <w:rsid w:val="00481C44"/>
    <w:rsid w:val="004839C6"/>
    <w:rsid w:val="00483DA4"/>
    <w:rsid w:val="00484936"/>
    <w:rsid w:val="00485C89"/>
    <w:rsid w:val="00486BE3"/>
    <w:rsid w:val="004905E4"/>
    <w:rsid w:val="00490A89"/>
    <w:rsid w:val="00490AB4"/>
    <w:rsid w:val="00490D87"/>
    <w:rsid w:val="00492CB0"/>
    <w:rsid w:val="00492F02"/>
    <w:rsid w:val="004939AE"/>
    <w:rsid w:val="004A12DF"/>
    <w:rsid w:val="004A17E6"/>
    <w:rsid w:val="004A1BA8"/>
    <w:rsid w:val="004A4B57"/>
    <w:rsid w:val="004A63FA"/>
    <w:rsid w:val="004B0272"/>
    <w:rsid w:val="004B0DF3"/>
    <w:rsid w:val="004B262B"/>
    <w:rsid w:val="004B2701"/>
    <w:rsid w:val="004B2E1B"/>
    <w:rsid w:val="004B35A8"/>
    <w:rsid w:val="004B3AA8"/>
    <w:rsid w:val="004B3E93"/>
    <w:rsid w:val="004B5EB5"/>
    <w:rsid w:val="004C1FBC"/>
    <w:rsid w:val="004C3C32"/>
    <w:rsid w:val="004C3F1D"/>
    <w:rsid w:val="004C458D"/>
    <w:rsid w:val="004C6CFD"/>
    <w:rsid w:val="004C7556"/>
    <w:rsid w:val="004C7A89"/>
    <w:rsid w:val="004C7E8B"/>
    <w:rsid w:val="004C7E9D"/>
    <w:rsid w:val="004C7F67"/>
    <w:rsid w:val="004D076D"/>
    <w:rsid w:val="004D0EF1"/>
    <w:rsid w:val="004D2253"/>
    <w:rsid w:val="004D3133"/>
    <w:rsid w:val="004D4406"/>
    <w:rsid w:val="004D5F01"/>
    <w:rsid w:val="004D72C0"/>
    <w:rsid w:val="004D7C42"/>
    <w:rsid w:val="004E0465"/>
    <w:rsid w:val="004E127B"/>
    <w:rsid w:val="004E1C0A"/>
    <w:rsid w:val="004E2B06"/>
    <w:rsid w:val="004E30C5"/>
    <w:rsid w:val="004E4AA5"/>
    <w:rsid w:val="004E4AEE"/>
    <w:rsid w:val="004E59E3"/>
    <w:rsid w:val="004E67C0"/>
    <w:rsid w:val="004E7173"/>
    <w:rsid w:val="004E782C"/>
    <w:rsid w:val="004F391A"/>
    <w:rsid w:val="004F3CFB"/>
    <w:rsid w:val="004F4929"/>
    <w:rsid w:val="004F4D68"/>
    <w:rsid w:val="004F50E3"/>
    <w:rsid w:val="004F61FA"/>
    <w:rsid w:val="004F6456"/>
    <w:rsid w:val="004F696E"/>
    <w:rsid w:val="004F6C71"/>
    <w:rsid w:val="00501139"/>
    <w:rsid w:val="0050363E"/>
    <w:rsid w:val="005039BC"/>
    <w:rsid w:val="005043BB"/>
    <w:rsid w:val="00504A3D"/>
    <w:rsid w:val="00505767"/>
    <w:rsid w:val="005073F0"/>
    <w:rsid w:val="00510A7B"/>
    <w:rsid w:val="005114A1"/>
    <w:rsid w:val="00512F6E"/>
    <w:rsid w:val="00513038"/>
    <w:rsid w:val="00514174"/>
    <w:rsid w:val="00516088"/>
    <w:rsid w:val="00516B0B"/>
    <w:rsid w:val="00517462"/>
    <w:rsid w:val="005220EC"/>
    <w:rsid w:val="00523F95"/>
    <w:rsid w:val="00524D65"/>
    <w:rsid w:val="00525B16"/>
    <w:rsid w:val="005314E7"/>
    <w:rsid w:val="0053286C"/>
    <w:rsid w:val="00533778"/>
    <w:rsid w:val="00533D04"/>
    <w:rsid w:val="00534804"/>
    <w:rsid w:val="00534BDF"/>
    <w:rsid w:val="005354EA"/>
    <w:rsid w:val="0053585F"/>
    <w:rsid w:val="00535EC4"/>
    <w:rsid w:val="00535ED9"/>
    <w:rsid w:val="0053692B"/>
    <w:rsid w:val="00541853"/>
    <w:rsid w:val="00542392"/>
    <w:rsid w:val="00543BDA"/>
    <w:rsid w:val="005441CC"/>
    <w:rsid w:val="00545BD6"/>
    <w:rsid w:val="005479DA"/>
    <w:rsid w:val="00547BCC"/>
    <w:rsid w:val="0055013B"/>
    <w:rsid w:val="00551F6F"/>
    <w:rsid w:val="00553BBF"/>
    <w:rsid w:val="0055457D"/>
    <w:rsid w:val="00555044"/>
    <w:rsid w:val="00561475"/>
    <w:rsid w:val="0056487B"/>
    <w:rsid w:val="00564FB9"/>
    <w:rsid w:val="00570DA1"/>
    <w:rsid w:val="005731DC"/>
    <w:rsid w:val="00573D9E"/>
    <w:rsid w:val="00576DC8"/>
    <w:rsid w:val="005801E3"/>
    <w:rsid w:val="005807BE"/>
    <w:rsid w:val="00581802"/>
    <w:rsid w:val="00582CE9"/>
    <w:rsid w:val="005836A8"/>
    <w:rsid w:val="0058409C"/>
    <w:rsid w:val="00584262"/>
    <w:rsid w:val="00585C47"/>
    <w:rsid w:val="00586630"/>
    <w:rsid w:val="00587ADD"/>
    <w:rsid w:val="00591E27"/>
    <w:rsid w:val="005924A9"/>
    <w:rsid w:val="00596160"/>
    <w:rsid w:val="005966E2"/>
    <w:rsid w:val="00597007"/>
    <w:rsid w:val="005A0966"/>
    <w:rsid w:val="005A11B7"/>
    <w:rsid w:val="005A260B"/>
    <w:rsid w:val="005A3D63"/>
    <w:rsid w:val="005A4A1B"/>
    <w:rsid w:val="005A7830"/>
    <w:rsid w:val="005A7FCE"/>
    <w:rsid w:val="005B0F3F"/>
    <w:rsid w:val="005B4903"/>
    <w:rsid w:val="005B51CE"/>
    <w:rsid w:val="005B527F"/>
    <w:rsid w:val="005B5885"/>
    <w:rsid w:val="005B5CD7"/>
    <w:rsid w:val="005B6CF6"/>
    <w:rsid w:val="005B7422"/>
    <w:rsid w:val="005B7B59"/>
    <w:rsid w:val="005C011D"/>
    <w:rsid w:val="005C29B8"/>
    <w:rsid w:val="005C5F21"/>
    <w:rsid w:val="005C7156"/>
    <w:rsid w:val="005D0967"/>
    <w:rsid w:val="005D0C75"/>
    <w:rsid w:val="005D15F8"/>
    <w:rsid w:val="005D2A8E"/>
    <w:rsid w:val="005D4171"/>
    <w:rsid w:val="005D6A95"/>
    <w:rsid w:val="005D6B2C"/>
    <w:rsid w:val="005D6D9C"/>
    <w:rsid w:val="005E0911"/>
    <w:rsid w:val="005E2335"/>
    <w:rsid w:val="005E34CA"/>
    <w:rsid w:val="005E3C18"/>
    <w:rsid w:val="005E4601"/>
    <w:rsid w:val="005E4DC7"/>
    <w:rsid w:val="005E6812"/>
    <w:rsid w:val="005E7881"/>
    <w:rsid w:val="005E78E0"/>
    <w:rsid w:val="005F0D9C"/>
    <w:rsid w:val="005F2017"/>
    <w:rsid w:val="005F284E"/>
    <w:rsid w:val="005F2916"/>
    <w:rsid w:val="005F2D0B"/>
    <w:rsid w:val="005F4712"/>
    <w:rsid w:val="005F71BC"/>
    <w:rsid w:val="005F7DD0"/>
    <w:rsid w:val="0060057B"/>
    <w:rsid w:val="006015CE"/>
    <w:rsid w:val="00604784"/>
    <w:rsid w:val="00606419"/>
    <w:rsid w:val="00607D29"/>
    <w:rsid w:val="0061015E"/>
    <w:rsid w:val="00610FA5"/>
    <w:rsid w:val="00612952"/>
    <w:rsid w:val="0061427F"/>
    <w:rsid w:val="00614CC1"/>
    <w:rsid w:val="00615A9D"/>
    <w:rsid w:val="00617387"/>
    <w:rsid w:val="006205D6"/>
    <w:rsid w:val="006252D8"/>
    <w:rsid w:val="006259BC"/>
    <w:rsid w:val="0062636B"/>
    <w:rsid w:val="00632182"/>
    <w:rsid w:val="00632AE0"/>
    <w:rsid w:val="00633061"/>
    <w:rsid w:val="00633C17"/>
    <w:rsid w:val="00634D9E"/>
    <w:rsid w:val="00634EF2"/>
    <w:rsid w:val="00636E3E"/>
    <w:rsid w:val="006379F7"/>
    <w:rsid w:val="00637D3A"/>
    <w:rsid w:val="00637E4D"/>
    <w:rsid w:val="00640620"/>
    <w:rsid w:val="00641A1F"/>
    <w:rsid w:val="00645904"/>
    <w:rsid w:val="006479F2"/>
    <w:rsid w:val="00651ACB"/>
    <w:rsid w:val="00651C47"/>
    <w:rsid w:val="00652AB2"/>
    <w:rsid w:val="00653FED"/>
    <w:rsid w:val="00654EC0"/>
    <w:rsid w:val="0065525B"/>
    <w:rsid w:val="00655D4F"/>
    <w:rsid w:val="00656D29"/>
    <w:rsid w:val="00661AE3"/>
    <w:rsid w:val="00663F5C"/>
    <w:rsid w:val="006640E5"/>
    <w:rsid w:val="0066430E"/>
    <w:rsid w:val="006646F1"/>
    <w:rsid w:val="00664929"/>
    <w:rsid w:val="00664F62"/>
    <w:rsid w:val="00665069"/>
    <w:rsid w:val="006655E1"/>
    <w:rsid w:val="00665796"/>
    <w:rsid w:val="00672060"/>
    <w:rsid w:val="00672BFD"/>
    <w:rsid w:val="00673A33"/>
    <w:rsid w:val="00674A78"/>
    <w:rsid w:val="006770F4"/>
    <w:rsid w:val="00677A84"/>
    <w:rsid w:val="0068026D"/>
    <w:rsid w:val="00680A27"/>
    <w:rsid w:val="006816A4"/>
    <w:rsid w:val="006819B8"/>
    <w:rsid w:val="00683E1D"/>
    <w:rsid w:val="006840A6"/>
    <w:rsid w:val="006849CC"/>
    <w:rsid w:val="00684B45"/>
    <w:rsid w:val="006850CD"/>
    <w:rsid w:val="00685AAB"/>
    <w:rsid w:val="006903F6"/>
    <w:rsid w:val="0069564E"/>
    <w:rsid w:val="00695D22"/>
    <w:rsid w:val="006A07AA"/>
    <w:rsid w:val="006A0E62"/>
    <w:rsid w:val="006A1E1D"/>
    <w:rsid w:val="006A25E5"/>
    <w:rsid w:val="006A2B46"/>
    <w:rsid w:val="006A336D"/>
    <w:rsid w:val="006A37B9"/>
    <w:rsid w:val="006A446B"/>
    <w:rsid w:val="006B1088"/>
    <w:rsid w:val="006B2672"/>
    <w:rsid w:val="006B4E86"/>
    <w:rsid w:val="006B51FE"/>
    <w:rsid w:val="006B54BF"/>
    <w:rsid w:val="006B5F44"/>
    <w:rsid w:val="006B5F90"/>
    <w:rsid w:val="006B62E4"/>
    <w:rsid w:val="006B7B3E"/>
    <w:rsid w:val="006C1BBA"/>
    <w:rsid w:val="006C2079"/>
    <w:rsid w:val="006C2307"/>
    <w:rsid w:val="006C5A62"/>
    <w:rsid w:val="006C5D68"/>
    <w:rsid w:val="006C618C"/>
    <w:rsid w:val="006C6976"/>
    <w:rsid w:val="006C6DD0"/>
    <w:rsid w:val="006D04EA"/>
    <w:rsid w:val="006D0AB7"/>
    <w:rsid w:val="006D16C4"/>
    <w:rsid w:val="006D3E96"/>
    <w:rsid w:val="006D4515"/>
    <w:rsid w:val="006D4BB1"/>
    <w:rsid w:val="006D6593"/>
    <w:rsid w:val="006E1F88"/>
    <w:rsid w:val="006E23EA"/>
    <w:rsid w:val="006E5B35"/>
    <w:rsid w:val="006F03A8"/>
    <w:rsid w:val="006F0EFA"/>
    <w:rsid w:val="006F2ACA"/>
    <w:rsid w:val="006F2ADC"/>
    <w:rsid w:val="006F2BFE"/>
    <w:rsid w:val="006F3109"/>
    <w:rsid w:val="006F31E9"/>
    <w:rsid w:val="006F6284"/>
    <w:rsid w:val="007002C5"/>
    <w:rsid w:val="00704387"/>
    <w:rsid w:val="00706D3D"/>
    <w:rsid w:val="00707669"/>
    <w:rsid w:val="0070790A"/>
    <w:rsid w:val="00711CBA"/>
    <w:rsid w:val="00711FB5"/>
    <w:rsid w:val="00712A01"/>
    <w:rsid w:val="00714F58"/>
    <w:rsid w:val="00716509"/>
    <w:rsid w:val="00717817"/>
    <w:rsid w:val="0072185B"/>
    <w:rsid w:val="00722FBF"/>
    <w:rsid w:val="00722FC2"/>
    <w:rsid w:val="0072342E"/>
    <w:rsid w:val="00724879"/>
    <w:rsid w:val="00724E1B"/>
    <w:rsid w:val="0072560C"/>
    <w:rsid w:val="0072565A"/>
    <w:rsid w:val="00725949"/>
    <w:rsid w:val="007262E3"/>
    <w:rsid w:val="00727FA2"/>
    <w:rsid w:val="0073217A"/>
    <w:rsid w:val="007322D9"/>
    <w:rsid w:val="00732BC0"/>
    <w:rsid w:val="007357FA"/>
    <w:rsid w:val="0073720F"/>
    <w:rsid w:val="00737796"/>
    <w:rsid w:val="00740335"/>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1DB"/>
    <w:rsid w:val="00756B26"/>
    <w:rsid w:val="00756EDF"/>
    <w:rsid w:val="00757F59"/>
    <w:rsid w:val="007600E3"/>
    <w:rsid w:val="00763B16"/>
    <w:rsid w:val="00765C43"/>
    <w:rsid w:val="00765EFB"/>
    <w:rsid w:val="00766AF2"/>
    <w:rsid w:val="007671CA"/>
    <w:rsid w:val="00767C61"/>
    <w:rsid w:val="0077008A"/>
    <w:rsid w:val="007732A5"/>
    <w:rsid w:val="00773C1F"/>
    <w:rsid w:val="00774DA4"/>
    <w:rsid w:val="00776599"/>
    <w:rsid w:val="0078114B"/>
    <w:rsid w:val="00781DD2"/>
    <w:rsid w:val="00783ECF"/>
    <w:rsid w:val="0078413A"/>
    <w:rsid w:val="00784EAD"/>
    <w:rsid w:val="0078515F"/>
    <w:rsid w:val="0078636B"/>
    <w:rsid w:val="00787786"/>
    <w:rsid w:val="007959E8"/>
    <w:rsid w:val="00795C74"/>
    <w:rsid w:val="00795E9C"/>
    <w:rsid w:val="007A000D"/>
    <w:rsid w:val="007A0521"/>
    <w:rsid w:val="007A098C"/>
    <w:rsid w:val="007A2E12"/>
    <w:rsid w:val="007A3475"/>
    <w:rsid w:val="007A3F2F"/>
    <w:rsid w:val="007A41C8"/>
    <w:rsid w:val="007A54CE"/>
    <w:rsid w:val="007A6D40"/>
    <w:rsid w:val="007A6FD9"/>
    <w:rsid w:val="007A7FFA"/>
    <w:rsid w:val="007B04EB"/>
    <w:rsid w:val="007B0D4F"/>
    <w:rsid w:val="007B22D4"/>
    <w:rsid w:val="007B2607"/>
    <w:rsid w:val="007B5554"/>
    <w:rsid w:val="007B5A3D"/>
    <w:rsid w:val="007B5B95"/>
    <w:rsid w:val="007B68EA"/>
    <w:rsid w:val="007B7453"/>
    <w:rsid w:val="007C1E8B"/>
    <w:rsid w:val="007C2D89"/>
    <w:rsid w:val="007C4593"/>
    <w:rsid w:val="007C5309"/>
    <w:rsid w:val="007C6069"/>
    <w:rsid w:val="007D018B"/>
    <w:rsid w:val="007D06C4"/>
    <w:rsid w:val="007D0F6B"/>
    <w:rsid w:val="007D1352"/>
    <w:rsid w:val="007D2508"/>
    <w:rsid w:val="007D2BA5"/>
    <w:rsid w:val="007D3150"/>
    <w:rsid w:val="007D346A"/>
    <w:rsid w:val="007D48C6"/>
    <w:rsid w:val="007D6518"/>
    <w:rsid w:val="007D76BD"/>
    <w:rsid w:val="007E0BF1"/>
    <w:rsid w:val="007E3162"/>
    <w:rsid w:val="007F0ED8"/>
    <w:rsid w:val="007F0F63"/>
    <w:rsid w:val="007F6DE8"/>
    <w:rsid w:val="007F75CE"/>
    <w:rsid w:val="008013A4"/>
    <w:rsid w:val="008027CE"/>
    <w:rsid w:val="00802F42"/>
    <w:rsid w:val="00804383"/>
    <w:rsid w:val="00804AED"/>
    <w:rsid w:val="00804BB7"/>
    <w:rsid w:val="00804D41"/>
    <w:rsid w:val="00810257"/>
    <w:rsid w:val="008104F5"/>
    <w:rsid w:val="008108D1"/>
    <w:rsid w:val="00811072"/>
    <w:rsid w:val="00811369"/>
    <w:rsid w:val="008122E3"/>
    <w:rsid w:val="00812E1A"/>
    <w:rsid w:val="00813434"/>
    <w:rsid w:val="00813F6C"/>
    <w:rsid w:val="00815419"/>
    <w:rsid w:val="008163C8"/>
    <w:rsid w:val="008164A1"/>
    <w:rsid w:val="00817325"/>
    <w:rsid w:val="008208E5"/>
    <w:rsid w:val="008209E6"/>
    <w:rsid w:val="008211A9"/>
    <w:rsid w:val="00822431"/>
    <w:rsid w:val="00823303"/>
    <w:rsid w:val="008233B2"/>
    <w:rsid w:val="00823A9F"/>
    <w:rsid w:val="00823C85"/>
    <w:rsid w:val="00825138"/>
    <w:rsid w:val="00826751"/>
    <w:rsid w:val="008269DD"/>
    <w:rsid w:val="00830621"/>
    <w:rsid w:val="008322CF"/>
    <w:rsid w:val="0083348C"/>
    <w:rsid w:val="008373D3"/>
    <w:rsid w:val="00840617"/>
    <w:rsid w:val="00840F84"/>
    <w:rsid w:val="00841AE2"/>
    <w:rsid w:val="00841EFA"/>
    <w:rsid w:val="00842A47"/>
    <w:rsid w:val="00843C13"/>
    <w:rsid w:val="008454F8"/>
    <w:rsid w:val="0085173A"/>
    <w:rsid w:val="00855AE8"/>
    <w:rsid w:val="00856316"/>
    <w:rsid w:val="008575BD"/>
    <w:rsid w:val="00860398"/>
    <w:rsid w:val="008603CE"/>
    <w:rsid w:val="008620FC"/>
    <w:rsid w:val="00862267"/>
    <w:rsid w:val="008627A5"/>
    <w:rsid w:val="00863E05"/>
    <w:rsid w:val="00865ACA"/>
    <w:rsid w:val="00865D28"/>
    <w:rsid w:val="00865F85"/>
    <w:rsid w:val="00867C10"/>
    <w:rsid w:val="00870439"/>
    <w:rsid w:val="00870842"/>
    <w:rsid w:val="00870DA1"/>
    <w:rsid w:val="00876848"/>
    <w:rsid w:val="00883F93"/>
    <w:rsid w:val="00884DB3"/>
    <w:rsid w:val="0088523B"/>
    <w:rsid w:val="00885A9D"/>
    <w:rsid w:val="008864F6"/>
    <w:rsid w:val="00890420"/>
    <w:rsid w:val="0089049D"/>
    <w:rsid w:val="008928C9"/>
    <w:rsid w:val="008930CB"/>
    <w:rsid w:val="008938DC"/>
    <w:rsid w:val="00893FD1"/>
    <w:rsid w:val="00894836"/>
    <w:rsid w:val="00895172"/>
    <w:rsid w:val="00895680"/>
    <w:rsid w:val="00896ABD"/>
    <w:rsid w:val="00896DFF"/>
    <w:rsid w:val="0089762C"/>
    <w:rsid w:val="008A1893"/>
    <w:rsid w:val="008A3215"/>
    <w:rsid w:val="008A57E6"/>
    <w:rsid w:val="008A6F81"/>
    <w:rsid w:val="008A769A"/>
    <w:rsid w:val="008B0C9C"/>
    <w:rsid w:val="008B166D"/>
    <w:rsid w:val="008B17F4"/>
    <w:rsid w:val="008B3615"/>
    <w:rsid w:val="008B4659"/>
    <w:rsid w:val="008B4AC4"/>
    <w:rsid w:val="008B50C8"/>
    <w:rsid w:val="008B5281"/>
    <w:rsid w:val="008B5B14"/>
    <w:rsid w:val="008B7E05"/>
    <w:rsid w:val="008C0351"/>
    <w:rsid w:val="008C1797"/>
    <w:rsid w:val="008C219C"/>
    <w:rsid w:val="008C475E"/>
    <w:rsid w:val="008C619A"/>
    <w:rsid w:val="008D0CE8"/>
    <w:rsid w:val="008D1FEE"/>
    <w:rsid w:val="008D2D1D"/>
    <w:rsid w:val="008D4319"/>
    <w:rsid w:val="008D453D"/>
    <w:rsid w:val="008D53AD"/>
    <w:rsid w:val="008D562B"/>
    <w:rsid w:val="008D5733"/>
    <w:rsid w:val="008D622B"/>
    <w:rsid w:val="008D6244"/>
    <w:rsid w:val="008D63DB"/>
    <w:rsid w:val="008D666C"/>
    <w:rsid w:val="008D7B54"/>
    <w:rsid w:val="008E0C9D"/>
    <w:rsid w:val="008E1648"/>
    <w:rsid w:val="008E1B3E"/>
    <w:rsid w:val="008E2319"/>
    <w:rsid w:val="008E4BB6"/>
    <w:rsid w:val="008E5518"/>
    <w:rsid w:val="008E6A84"/>
    <w:rsid w:val="008E7D0A"/>
    <w:rsid w:val="008F0BC6"/>
    <w:rsid w:val="008F0CDC"/>
    <w:rsid w:val="008F17A3"/>
    <w:rsid w:val="008F1ED3"/>
    <w:rsid w:val="008F23A5"/>
    <w:rsid w:val="008F268F"/>
    <w:rsid w:val="008F325D"/>
    <w:rsid w:val="008F4C29"/>
    <w:rsid w:val="008F632B"/>
    <w:rsid w:val="008F6A1F"/>
    <w:rsid w:val="008F70BD"/>
    <w:rsid w:val="008F788F"/>
    <w:rsid w:val="008F7EA2"/>
    <w:rsid w:val="00900924"/>
    <w:rsid w:val="00902722"/>
    <w:rsid w:val="009027BC"/>
    <w:rsid w:val="00903809"/>
    <w:rsid w:val="009062E6"/>
    <w:rsid w:val="00910995"/>
    <w:rsid w:val="00911BE5"/>
    <w:rsid w:val="00913CA9"/>
    <w:rsid w:val="00913DC9"/>
    <w:rsid w:val="009145AE"/>
    <w:rsid w:val="009146CE"/>
    <w:rsid w:val="00914CA7"/>
    <w:rsid w:val="00915C3E"/>
    <w:rsid w:val="009161A8"/>
    <w:rsid w:val="0092384E"/>
    <w:rsid w:val="009245F5"/>
    <w:rsid w:val="009249EC"/>
    <w:rsid w:val="00925D4B"/>
    <w:rsid w:val="00926D77"/>
    <w:rsid w:val="009273B3"/>
    <w:rsid w:val="00927FF1"/>
    <w:rsid w:val="009305B5"/>
    <w:rsid w:val="00933CDF"/>
    <w:rsid w:val="0093593C"/>
    <w:rsid w:val="00936809"/>
    <w:rsid w:val="009378C4"/>
    <w:rsid w:val="009402CB"/>
    <w:rsid w:val="009429D5"/>
    <w:rsid w:val="00942BF1"/>
    <w:rsid w:val="00942E98"/>
    <w:rsid w:val="00945180"/>
    <w:rsid w:val="00945428"/>
    <w:rsid w:val="0094607B"/>
    <w:rsid w:val="00953604"/>
    <w:rsid w:val="0095496B"/>
    <w:rsid w:val="009610DC"/>
    <w:rsid w:val="00961490"/>
    <w:rsid w:val="0096381A"/>
    <w:rsid w:val="00965E04"/>
    <w:rsid w:val="009674AD"/>
    <w:rsid w:val="00970CDC"/>
    <w:rsid w:val="00976075"/>
    <w:rsid w:val="00977010"/>
    <w:rsid w:val="009777FA"/>
    <w:rsid w:val="00977D02"/>
    <w:rsid w:val="009806DB"/>
    <w:rsid w:val="009809BB"/>
    <w:rsid w:val="00982FAB"/>
    <w:rsid w:val="0098364B"/>
    <w:rsid w:val="009862A1"/>
    <w:rsid w:val="009911AF"/>
    <w:rsid w:val="00991875"/>
    <w:rsid w:val="00991F92"/>
    <w:rsid w:val="00992985"/>
    <w:rsid w:val="00993889"/>
    <w:rsid w:val="0099551B"/>
    <w:rsid w:val="00996868"/>
    <w:rsid w:val="00996F3A"/>
    <w:rsid w:val="00997B88"/>
    <w:rsid w:val="00997BF1"/>
    <w:rsid w:val="009A089C"/>
    <w:rsid w:val="009A118E"/>
    <w:rsid w:val="009A21CD"/>
    <w:rsid w:val="009A278C"/>
    <w:rsid w:val="009A2BC2"/>
    <w:rsid w:val="009A3D39"/>
    <w:rsid w:val="009A42C1"/>
    <w:rsid w:val="009A5429"/>
    <w:rsid w:val="009A72AD"/>
    <w:rsid w:val="009B09E0"/>
    <w:rsid w:val="009B0BC5"/>
    <w:rsid w:val="009B1247"/>
    <w:rsid w:val="009B3B22"/>
    <w:rsid w:val="009B46F9"/>
    <w:rsid w:val="009B6029"/>
    <w:rsid w:val="009B6971"/>
    <w:rsid w:val="009B777C"/>
    <w:rsid w:val="009C05DE"/>
    <w:rsid w:val="009C27F1"/>
    <w:rsid w:val="009C3152"/>
    <w:rsid w:val="009C4CFA"/>
    <w:rsid w:val="009C4EED"/>
    <w:rsid w:val="009C5070"/>
    <w:rsid w:val="009D112C"/>
    <w:rsid w:val="009D47FA"/>
    <w:rsid w:val="009D4C5B"/>
    <w:rsid w:val="009D50D2"/>
    <w:rsid w:val="009D6BCA"/>
    <w:rsid w:val="009E069F"/>
    <w:rsid w:val="009E0DDE"/>
    <w:rsid w:val="009E0F62"/>
    <w:rsid w:val="009E37F5"/>
    <w:rsid w:val="009E4A58"/>
    <w:rsid w:val="009E5A2D"/>
    <w:rsid w:val="009E5AB2"/>
    <w:rsid w:val="009E6219"/>
    <w:rsid w:val="009F03B3"/>
    <w:rsid w:val="009F0E04"/>
    <w:rsid w:val="009F440C"/>
    <w:rsid w:val="00A0096C"/>
    <w:rsid w:val="00A0174D"/>
    <w:rsid w:val="00A01757"/>
    <w:rsid w:val="00A028C0"/>
    <w:rsid w:val="00A02BAE"/>
    <w:rsid w:val="00A03550"/>
    <w:rsid w:val="00A06A6B"/>
    <w:rsid w:val="00A07E47"/>
    <w:rsid w:val="00A129D0"/>
    <w:rsid w:val="00A12C33"/>
    <w:rsid w:val="00A12E2C"/>
    <w:rsid w:val="00A138BA"/>
    <w:rsid w:val="00A1444A"/>
    <w:rsid w:val="00A14C8E"/>
    <w:rsid w:val="00A153D9"/>
    <w:rsid w:val="00A15D08"/>
    <w:rsid w:val="00A15F09"/>
    <w:rsid w:val="00A169B6"/>
    <w:rsid w:val="00A2271D"/>
    <w:rsid w:val="00A237D5"/>
    <w:rsid w:val="00A2425F"/>
    <w:rsid w:val="00A27C48"/>
    <w:rsid w:val="00A30EFC"/>
    <w:rsid w:val="00A31984"/>
    <w:rsid w:val="00A31D2E"/>
    <w:rsid w:val="00A32D73"/>
    <w:rsid w:val="00A3367B"/>
    <w:rsid w:val="00A3489D"/>
    <w:rsid w:val="00A3597D"/>
    <w:rsid w:val="00A36DD1"/>
    <w:rsid w:val="00A37EC9"/>
    <w:rsid w:val="00A4006C"/>
    <w:rsid w:val="00A40091"/>
    <w:rsid w:val="00A40141"/>
    <w:rsid w:val="00A4030F"/>
    <w:rsid w:val="00A40FA8"/>
    <w:rsid w:val="00A41C79"/>
    <w:rsid w:val="00A41CB5"/>
    <w:rsid w:val="00A42CDF"/>
    <w:rsid w:val="00A42CE4"/>
    <w:rsid w:val="00A43F94"/>
    <w:rsid w:val="00A4452E"/>
    <w:rsid w:val="00A4472C"/>
    <w:rsid w:val="00A44E69"/>
    <w:rsid w:val="00A4661E"/>
    <w:rsid w:val="00A506DF"/>
    <w:rsid w:val="00A55BD6"/>
    <w:rsid w:val="00A55D50"/>
    <w:rsid w:val="00A57142"/>
    <w:rsid w:val="00A648CD"/>
    <w:rsid w:val="00A6537A"/>
    <w:rsid w:val="00A65E91"/>
    <w:rsid w:val="00A67866"/>
    <w:rsid w:val="00A67C61"/>
    <w:rsid w:val="00A70B07"/>
    <w:rsid w:val="00A723F8"/>
    <w:rsid w:val="00A77CCB"/>
    <w:rsid w:val="00A81FC7"/>
    <w:rsid w:val="00A83D8D"/>
    <w:rsid w:val="00A8446B"/>
    <w:rsid w:val="00A8473F"/>
    <w:rsid w:val="00A862D6"/>
    <w:rsid w:val="00A8715E"/>
    <w:rsid w:val="00A87593"/>
    <w:rsid w:val="00A9295B"/>
    <w:rsid w:val="00A93B09"/>
    <w:rsid w:val="00A94247"/>
    <w:rsid w:val="00A952D7"/>
    <w:rsid w:val="00A96172"/>
    <w:rsid w:val="00A963F7"/>
    <w:rsid w:val="00A96AD8"/>
    <w:rsid w:val="00AA052C"/>
    <w:rsid w:val="00AA1E45"/>
    <w:rsid w:val="00AA4286"/>
    <w:rsid w:val="00AA456B"/>
    <w:rsid w:val="00AA57F5"/>
    <w:rsid w:val="00AA672E"/>
    <w:rsid w:val="00AA6EC9"/>
    <w:rsid w:val="00AA71AF"/>
    <w:rsid w:val="00AB0C8C"/>
    <w:rsid w:val="00AB2E6F"/>
    <w:rsid w:val="00AB41D5"/>
    <w:rsid w:val="00AB59A6"/>
    <w:rsid w:val="00AB6309"/>
    <w:rsid w:val="00AB6C5F"/>
    <w:rsid w:val="00AB7129"/>
    <w:rsid w:val="00AB7CE4"/>
    <w:rsid w:val="00AC27A6"/>
    <w:rsid w:val="00AC2FE0"/>
    <w:rsid w:val="00AC30F7"/>
    <w:rsid w:val="00AC3A5A"/>
    <w:rsid w:val="00AC4D95"/>
    <w:rsid w:val="00AC5DF4"/>
    <w:rsid w:val="00AD0AEF"/>
    <w:rsid w:val="00AD11B7"/>
    <w:rsid w:val="00AD1A94"/>
    <w:rsid w:val="00AD1C05"/>
    <w:rsid w:val="00AD1C34"/>
    <w:rsid w:val="00AD4126"/>
    <w:rsid w:val="00AD421C"/>
    <w:rsid w:val="00AD44FA"/>
    <w:rsid w:val="00AD4F9A"/>
    <w:rsid w:val="00AD6F4F"/>
    <w:rsid w:val="00AD72CE"/>
    <w:rsid w:val="00AD7C1E"/>
    <w:rsid w:val="00AE070A"/>
    <w:rsid w:val="00AE101C"/>
    <w:rsid w:val="00AE37E5"/>
    <w:rsid w:val="00AE4EED"/>
    <w:rsid w:val="00AE53E8"/>
    <w:rsid w:val="00AE5EB4"/>
    <w:rsid w:val="00AE6B42"/>
    <w:rsid w:val="00AF0C18"/>
    <w:rsid w:val="00AF238F"/>
    <w:rsid w:val="00AF47C5"/>
    <w:rsid w:val="00AF5398"/>
    <w:rsid w:val="00AF60AA"/>
    <w:rsid w:val="00B04492"/>
    <w:rsid w:val="00B04832"/>
    <w:rsid w:val="00B049AF"/>
    <w:rsid w:val="00B07242"/>
    <w:rsid w:val="00B10534"/>
    <w:rsid w:val="00B113DB"/>
    <w:rsid w:val="00B11D8A"/>
    <w:rsid w:val="00B12981"/>
    <w:rsid w:val="00B147DD"/>
    <w:rsid w:val="00B156FD"/>
    <w:rsid w:val="00B210AB"/>
    <w:rsid w:val="00B21F61"/>
    <w:rsid w:val="00B22FA2"/>
    <w:rsid w:val="00B261F1"/>
    <w:rsid w:val="00B265BC"/>
    <w:rsid w:val="00B31FB1"/>
    <w:rsid w:val="00B33952"/>
    <w:rsid w:val="00B33C5E"/>
    <w:rsid w:val="00B342F4"/>
    <w:rsid w:val="00B34315"/>
    <w:rsid w:val="00B34369"/>
    <w:rsid w:val="00B3479D"/>
    <w:rsid w:val="00B34DC2"/>
    <w:rsid w:val="00B35F5D"/>
    <w:rsid w:val="00B378E5"/>
    <w:rsid w:val="00B379C1"/>
    <w:rsid w:val="00B4346D"/>
    <w:rsid w:val="00B440F4"/>
    <w:rsid w:val="00B447A5"/>
    <w:rsid w:val="00B45A5E"/>
    <w:rsid w:val="00B4654C"/>
    <w:rsid w:val="00B46AF0"/>
    <w:rsid w:val="00B47293"/>
    <w:rsid w:val="00B50725"/>
    <w:rsid w:val="00B50E50"/>
    <w:rsid w:val="00B52120"/>
    <w:rsid w:val="00B54ABC"/>
    <w:rsid w:val="00B54DDE"/>
    <w:rsid w:val="00B56A20"/>
    <w:rsid w:val="00B56FBE"/>
    <w:rsid w:val="00B60ACF"/>
    <w:rsid w:val="00B62B58"/>
    <w:rsid w:val="00B65149"/>
    <w:rsid w:val="00B66567"/>
    <w:rsid w:val="00B66F52"/>
    <w:rsid w:val="00B66FE5"/>
    <w:rsid w:val="00B705F9"/>
    <w:rsid w:val="00B72880"/>
    <w:rsid w:val="00B758BF"/>
    <w:rsid w:val="00B77EC8"/>
    <w:rsid w:val="00B8007C"/>
    <w:rsid w:val="00B81085"/>
    <w:rsid w:val="00B81ED8"/>
    <w:rsid w:val="00B827A6"/>
    <w:rsid w:val="00B831CE"/>
    <w:rsid w:val="00B86268"/>
    <w:rsid w:val="00B86677"/>
    <w:rsid w:val="00B87131"/>
    <w:rsid w:val="00B939B1"/>
    <w:rsid w:val="00B93B47"/>
    <w:rsid w:val="00B958FC"/>
    <w:rsid w:val="00B95BEC"/>
    <w:rsid w:val="00B96D40"/>
    <w:rsid w:val="00B97386"/>
    <w:rsid w:val="00BA263B"/>
    <w:rsid w:val="00BA2919"/>
    <w:rsid w:val="00BA2AC8"/>
    <w:rsid w:val="00BA3EA0"/>
    <w:rsid w:val="00BA42B2"/>
    <w:rsid w:val="00BA58D4"/>
    <w:rsid w:val="00BA5B9E"/>
    <w:rsid w:val="00BA5CD7"/>
    <w:rsid w:val="00BA7C9A"/>
    <w:rsid w:val="00BB203B"/>
    <w:rsid w:val="00BB2483"/>
    <w:rsid w:val="00BB5F8F"/>
    <w:rsid w:val="00BB657A"/>
    <w:rsid w:val="00BB662D"/>
    <w:rsid w:val="00BC011A"/>
    <w:rsid w:val="00BC1A4E"/>
    <w:rsid w:val="00BC2B4C"/>
    <w:rsid w:val="00BC4790"/>
    <w:rsid w:val="00BC5DC7"/>
    <w:rsid w:val="00BC6B8B"/>
    <w:rsid w:val="00BC73D8"/>
    <w:rsid w:val="00BD18DA"/>
    <w:rsid w:val="00BD1E97"/>
    <w:rsid w:val="00BD52D7"/>
    <w:rsid w:val="00BD5AD2"/>
    <w:rsid w:val="00BE22F3"/>
    <w:rsid w:val="00BE2631"/>
    <w:rsid w:val="00BE4815"/>
    <w:rsid w:val="00BE5B52"/>
    <w:rsid w:val="00BE7B8D"/>
    <w:rsid w:val="00BF0993"/>
    <w:rsid w:val="00BF10A9"/>
    <w:rsid w:val="00BF1703"/>
    <w:rsid w:val="00BF2241"/>
    <w:rsid w:val="00BF231C"/>
    <w:rsid w:val="00BF51E5"/>
    <w:rsid w:val="00BF74A6"/>
    <w:rsid w:val="00C013AD"/>
    <w:rsid w:val="00C04904"/>
    <w:rsid w:val="00C056B3"/>
    <w:rsid w:val="00C07DFD"/>
    <w:rsid w:val="00C103E5"/>
    <w:rsid w:val="00C13319"/>
    <w:rsid w:val="00C13EE9"/>
    <w:rsid w:val="00C15043"/>
    <w:rsid w:val="00C2011D"/>
    <w:rsid w:val="00C21540"/>
    <w:rsid w:val="00C21906"/>
    <w:rsid w:val="00C21BFA"/>
    <w:rsid w:val="00C22148"/>
    <w:rsid w:val="00C24C8D"/>
    <w:rsid w:val="00C25FE2"/>
    <w:rsid w:val="00C26B53"/>
    <w:rsid w:val="00C279B2"/>
    <w:rsid w:val="00C33E50"/>
    <w:rsid w:val="00C34C20"/>
    <w:rsid w:val="00C35A3E"/>
    <w:rsid w:val="00C36205"/>
    <w:rsid w:val="00C40B7A"/>
    <w:rsid w:val="00C4128C"/>
    <w:rsid w:val="00C42130"/>
    <w:rsid w:val="00C423A4"/>
    <w:rsid w:val="00C42A70"/>
    <w:rsid w:val="00C439FF"/>
    <w:rsid w:val="00C44B4F"/>
    <w:rsid w:val="00C44BF5"/>
    <w:rsid w:val="00C521D6"/>
    <w:rsid w:val="00C531AC"/>
    <w:rsid w:val="00C55232"/>
    <w:rsid w:val="00C553A4"/>
    <w:rsid w:val="00C55A06"/>
    <w:rsid w:val="00C55D03"/>
    <w:rsid w:val="00C601BC"/>
    <w:rsid w:val="00C6329F"/>
    <w:rsid w:val="00C63340"/>
    <w:rsid w:val="00C643F9"/>
    <w:rsid w:val="00C64E95"/>
    <w:rsid w:val="00C71372"/>
    <w:rsid w:val="00C72410"/>
    <w:rsid w:val="00C725CE"/>
    <w:rsid w:val="00C7287F"/>
    <w:rsid w:val="00C73C65"/>
    <w:rsid w:val="00C76C53"/>
    <w:rsid w:val="00C77B32"/>
    <w:rsid w:val="00C80CB8"/>
    <w:rsid w:val="00C819F8"/>
    <w:rsid w:val="00C8248C"/>
    <w:rsid w:val="00C8365E"/>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891"/>
    <w:rsid w:val="00CB2C0B"/>
    <w:rsid w:val="00CB3940"/>
    <w:rsid w:val="00CB517D"/>
    <w:rsid w:val="00CB58B3"/>
    <w:rsid w:val="00CC038D"/>
    <w:rsid w:val="00CC08DB"/>
    <w:rsid w:val="00CC10D6"/>
    <w:rsid w:val="00CC3804"/>
    <w:rsid w:val="00CC39FF"/>
    <w:rsid w:val="00CC3C2F"/>
    <w:rsid w:val="00CC4AC8"/>
    <w:rsid w:val="00CC518D"/>
    <w:rsid w:val="00CC5233"/>
    <w:rsid w:val="00CC5DE6"/>
    <w:rsid w:val="00CC6E4E"/>
    <w:rsid w:val="00CC6FE8"/>
    <w:rsid w:val="00CC7202"/>
    <w:rsid w:val="00CD2808"/>
    <w:rsid w:val="00CD28BF"/>
    <w:rsid w:val="00CD4092"/>
    <w:rsid w:val="00CD428B"/>
    <w:rsid w:val="00CD4A20"/>
    <w:rsid w:val="00CD50A1"/>
    <w:rsid w:val="00CD519E"/>
    <w:rsid w:val="00CD561D"/>
    <w:rsid w:val="00CD711D"/>
    <w:rsid w:val="00CE0C4F"/>
    <w:rsid w:val="00CE19ED"/>
    <w:rsid w:val="00CE30EA"/>
    <w:rsid w:val="00CF048A"/>
    <w:rsid w:val="00CF155A"/>
    <w:rsid w:val="00CF211E"/>
    <w:rsid w:val="00CF2947"/>
    <w:rsid w:val="00CF3B13"/>
    <w:rsid w:val="00CF686F"/>
    <w:rsid w:val="00CF6E60"/>
    <w:rsid w:val="00CF7BCA"/>
    <w:rsid w:val="00D008FD"/>
    <w:rsid w:val="00D018BE"/>
    <w:rsid w:val="00D0321C"/>
    <w:rsid w:val="00D035EC"/>
    <w:rsid w:val="00D06AB1"/>
    <w:rsid w:val="00D06B1D"/>
    <w:rsid w:val="00D07028"/>
    <w:rsid w:val="00D072ED"/>
    <w:rsid w:val="00D07A16"/>
    <w:rsid w:val="00D1067E"/>
    <w:rsid w:val="00D10F50"/>
    <w:rsid w:val="00D11272"/>
    <w:rsid w:val="00D126F5"/>
    <w:rsid w:val="00D1489E"/>
    <w:rsid w:val="00D15B8F"/>
    <w:rsid w:val="00D17366"/>
    <w:rsid w:val="00D179BF"/>
    <w:rsid w:val="00D206EE"/>
    <w:rsid w:val="00D20737"/>
    <w:rsid w:val="00D21E81"/>
    <w:rsid w:val="00D223DE"/>
    <w:rsid w:val="00D23D75"/>
    <w:rsid w:val="00D25E37"/>
    <w:rsid w:val="00D2661A"/>
    <w:rsid w:val="00D27582"/>
    <w:rsid w:val="00D27EC4"/>
    <w:rsid w:val="00D32719"/>
    <w:rsid w:val="00D33333"/>
    <w:rsid w:val="00D33457"/>
    <w:rsid w:val="00D352A2"/>
    <w:rsid w:val="00D36A17"/>
    <w:rsid w:val="00D4065B"/>
    <w:rsid w:val="00D4162B"/>
    <w:rsid w:val="00D41D11"/>
    <w:rsid w:val="00D45030"/>
    <w:rsid w:val="00D4514F"/>
    <w:rsid w:val="00D451E2"/>
    <w:rsid w:val="00D45E89"/>
    <w:rsid w:val="00D45E8D"/>
    <w:rsid w:val="00D4601E"/>
    <w:rsid w:val="00D466AE"/>
    <w:rsid w:val="00D4734F"/>
    <w:rsid w:val="00D51BF3"/>
    <w:rsid w:val="00D62C69"/>
    <w:rsid w:val="00D645AE"/>
    <w:rsid w:val="00D66330"/>
    <w:rsid w:val="00D66846"/>
    <w:rsid w:val="00D675FB"/>
    <w:rsid w:val="00D71F25"/>
    <w:rsid w:val="00D72A3A"/>
    <w:rsid w:val="00D72A9C"/>
    <w:rsid w:val="00D77031"/>
    <w:rsid w:val="00D84145"/>
    <w:rsid w:val="00D84941"/>
    <w:rsid w:val="00D84FA1"/>
    <w:rsid w:val="00D851F0"/>
    <w:rsid w:val="00D8613D"/>
    <w:rsid w:val="00D86DB7"/>
    <w:rsid w:val="00D9014B"/>
    <w:rsid w:val="00D926D0"/>
    <w:rsid w:val="00D93030"/>
    <w:rsid w:val="00D950E1"/>
    <w:rsid w:val="00D952A6"/>
    <w:rsid w:val="00D96857"/>
    <w:rsid w:val="00D97F99"/>
    <w:rsid w:val="00DA0F61"/>
    <w:rsid w:val="00DA1E08"/>
    <w:rsid w:val="00DA24F8"/>
    <w:rsid w:val="00DA28E8"/>
    <w:rsid w:val="00DA38D3"/>
    <w:rsid w:val="00DA3932"/>
    <w:rsid w:val="00DA3AFC"/>
    <w:rsid w:val="00DA46C6"/>
    <w:rsid w:val="00DA5191"/>
    <w:rsid w:val="00DA64F8"/>
    <w:rsid w:val="00DA6B62"/>
    <w:rsid w:val="00DA6C15"/>
    <w:rsid w:val="00DB0258"/>
    <w:rsid w:val="00DB1A67"/>
    <w:rsid w:val="00DB38EE"/>
    <w:rsid w:val="00DB498B"/>
    <w:rsid w:val="00DB66CA"/>
    <w:rsid w:val="00DB685A"/>
    <w:rsid w:val="00DB6BCA"/>
    <w:rsid w:val="00DB73F7"/>
    <w:rsid w:val="00DC0321"/>
    <w:rsid w:val="00DC03FC"/>
    <w:rsid w:val="00DC0C0D"/>
    <w:rsid w:val="00DC19EC"/>
    <w:rsid w:val="00DC3067"/>
    <w:rsid w:val="00DC370B"/>
    <w:rsid w:val="00DC5B90"/>
    <w:rsid w:val="00DD00FF"/>
    <w:rsid w:val="00DD0619"/>
    <w:rsid w:val="00DD07FB"/>
    <w:rsid w:val="00DD25C6"/>
    <w:rsid w:val="00DD302E"/>
    <w:rsid w:val="00DD4FE5"/>
    <w:rsid w:val="00DD54B0"/>
    <w:rsid w:val="00DD57EE"/>
    <w:rsid w:val="00DD5E1F"/>
    <w:rsid w:val="00DD6BCC"/>
    <w:rsid w:val="00DE0A4B"/>
    <w:rsid w:val="00DE2410"/>
    <w:rsid w:val="00DE2939"/>
    <w:rsid w:val="00DE6E81"/>
    <w:rsid w:val="00DE703F"/>
    <w:rsid w:val="00DE7567"/>
    <w:rsid w:val="00DE7595"/>
    <w:rsid w:val="00DF1961"/>
    <w:rsid w:val="00DF3935"/>
    <w:rsid w:val="00DF4451"/>
    <w:rsid w:val="00DF44DE"/>
    <w:rsid w:val="00DF4AF8"/>
    <w:rsid w:val="00DF5F11"/>
    <w:rsid w:val="00E01138"/>
    <w:rsid w:val="00E02DFB"/>
    <w:rsid w:val="00E030F9"/>
    <w:rsid w:val="00E0311A"/>
    <w:rsid w:val="00E03138"/>
    <w:rsid w:val="00E04271"/>
    <w:rsid w:val="00E06404"/>
    <w:rsid w:val="00E065D2"/>
    <w:rsid w:val="00E11A85"/>
    <w:rsid w:val="00E12495"/>
    <w:rsid w:val="00E147C1"/>
    <w:rsid w:val="00E15CCD"/>
    <w:rsid w:val="00E202EF"/>
    <w:rsid w:val="00E210B5"/>
    <w:rsid w:val="00E225F5"/>
    <w:rsid w:val="00E22D39"/>
    <w:rsid w:val="00E23D99"/>
    <w:rsid w:val="00E25153"/>
    <w:rsid w:val="00E2552F"/>
    <w:rsid w:val="00E2581A"/>
    <w:rsid w:val="00E25C6B"/>
    <w:rsid w:val="00E3137A"/>
    <w:rsid w:val="00E32CCF"/>
    <w:rsid w:val="00E34A98"/>
    <w:rsid w:val="00E35D1E"/>
    <w:rsid w:val="00E364F9"/>
    <w:rsid w:val="00E365FA"/>
    <w:rsid w:val="00E36789"/>
    <w:rsid w:val="00E3765F"/>
    <w:rsid w:val="00E40556"/>
    <w:rsid w:val="00E409CF"/>
    <w:rsid w:val="00E421EC"/>
    <w:rsid w:val="00E44A83"/>
    <w:rsid w:val="00E456F7"/>
    <w:rsid w:val="00E45A43"/>
    <w:rsid w:val="00E45D38"/>
    <w:rsid w:val="00E47229"/>
    <w:rsid w:val="00E502C1"/>
    <w:rsid w:val="00E502DD"/>
    <w:rsid w:val="00E50D3A"/>
    <w:rsid w:val="00E51387"/>
    <w:rsid w:val="00E51E68"/>
    <w:rsid w:val="00E51F9A"/>
    <w:rsid w:val="00E52EFD"/>
    <w:rsid w:val="00E5408A"/>
    <w:rsid w:val="00E56800"/>
    <w:rsid w:val="00E60C63"/>
    <w:rsid w:val="00E62FF9"/>
    <w:rsid w:val="00E63205"/>
    <w:rsid w:val="00E635D6"/>
    <w:rsid w:val="00E639BC"/>
    <w:rsid w:val="00E664CC"/>
    <w:rsid w:val="00E67F9F"/>
    <w:rsid w:val="00E701AB"/>
    <w:rsid w:val="00E70388"/>
    <w:rsid w:val="00E70F92"/>
    <w:rsid w:val="00E74C54"/>
    <w:rsid w:val="00E7610F"/>
    <w:rsid w:val="00E77A03"/>
    <w:rsid w:val="00E822E8"/>
    <w:rsid w:val="00E82554"/>
    <w:rsid w:val="00E82606"/>
    <w:rsid w:val="00E829C8"/>
    <w:rsid w:val="00E846C8"/>
    <w:rsid w:val="00E84957"/>
    <w:rsid w:val="00E84A55"/>
    <w:rsid w:val="00E85BFF"/>
    <w:rsid w:val="00E90391"/>
    <w:rsid w:val="00E906C2"/>
    <w:rsid w:val="00E9311F"/>
    <w:rsid w:val="00E934D1"/>
    <w:rsid w:val="00E94AF0"/>
    <w:rsid w:val="00E95D13"/>
    <w:rsid w:val="00E95DD3"/>
    <w:rsid w:val="00E969D5"/>
    <w:rsid w:val="00E96BEA"/>
    <w:rsid w:val="00E9749B"/>
    <w:rsid w:val="00EA1CEA"/>
    <w:rsid w:val="00EA232F"/>
    <w:rsid w:val="00EA58D1"/>
    <w:rsid w:val="00EA61BC"/>
    <w:rsid w:val="00EA681A"/>
    <w:rsid w:val="00EA735B"/>
    <w:rsid w:val="00EB17DE"/>
    <w:rsid w:val="00EB1BE3"/>
    <w:rsid w:val="00EB1E69"/>
    <w:rsid w:val="00EB2086"/>
    <w:rsid w:val="00EB5EDF"/>
    <w:rsid w:val="00EB60FE"/>
    <w:rsid w:val="00EB74DB"/>
    <w:rsid w:val="00EC5359"/>
    <w:rsid w:val="00EC562A"/>
    <w:rsid w:val="00EC747E"/>
    <w:rsid w:val="00ED067A"/>
    <w:rsid w:val="00ED2B50"/>
    <w:rsid w:val="00ED32E4"/>
    <w:rsid w:val="00EE0350"/>
    <w:rsid w:val="00EE0719"/>
    <w:rsid w:val="00EE0E80"/>
    <w:rsid w:val="00EE33E4"/>
    <w:rsid w:val="00EE525D"/>
    <w:rsid w:val="00EE54A6"/>
    <w:rsid w:val="00EE613F"/>
    <w:rsid w:val="00EE7295"/>
    <w:rsid w:val="00EE7869"/>
    <w:rsid w:val="00EE79AA"/>
    <w:rsid w:val="00EF054A"/>
    <w:rsid w:val="00EF0B28"/>
    <w:rsid w:val="00EF1EF0"/>
    <w:rsid w:val="00EF3235"/>
    <w:rsid w:val="00EF4AB4"/>
    <w:rsid w:val="00EF7E72"/>
    <w:rsid w:val="00F00694"/>
    <w:rsid w:val="00F06D37"/>
    <w:rsid w:val="00F07B9D"/>
    <w:rsid w:val="00F11586"/>
    <w:rsid w:val="00F1183B"/>
    <w:rsid w:val="00F11C9F"/>
    <w:rsid w:val="00F12263"/>
    <w:rsid w:val="00F1409D"/>
    <w:rsid w:val="00F14214"/>
    <w:rsid w:val="00F157A9"/>
    <w:rsid w:val="00F25BB6"/>
    <w:rsid w:val="00F269B0"/>
    <w:rsid w:val="00F26B7E"/>
    <w:rsid w:val="00F27A3B"/>
    <w:rsid w:val="00F31E76"/>
    <w:rsid w:val="00F33817"/>
    <w:rsid w:val="00F34A1E"/>
    <w:rsid w:val="00F420D5"/>
    <w:rsid w:val="00F43A70"/>
    <w:rsid w:val="00F451EA"/>
    <w:rsid w:val="00F45447"/>
    <w:rsid w:val="00F456C6"/>
    <w:rsid w:val="00F4577B"/>
    <w:rsid w:val="00F46496"/>
    <w:rsid w:val="00F474D0"/>
    <w:rsid w:val="00F475E5"/>
    <w:rsid w:val="00F50179"/>
    <w:rsid w:val="00F50C9F"/>
    <w:rsid w:val="00F515EE"/>
    <w:rsid w:val="00F53C54"/>
    <w:rsid w:val="00F55982"/>
    <w:rsid w:val="00F56511"/>
    <w:rsid w:val="00F6194E"/>
    <w:rsid w:val="00F623AC"/>
    <w:rsid w:val="00F6412A"/>
    <w:rsid w:val="00F65893"/>
    <w:rsid w:val="00F66A4A"/>
    <w:rsid w:val="00F71E22"/>
    <w:rsid w:val="00F72142"/>
    <w:rsid w:val="00F727FE"/>
    <w:rsid w:val="00F72AE7"/>
    <w:rsid w:val="00F72DB9"/>
    <w:rsid w:val="00F75D6C"/>
    <w:rsid w:val="00F766F0"/>
    <w:rsid w:val="00F76A53"/>
    <w:rsid w:val="00F77EED"/>
    <w:rsid w:val="00F81141"/>
    <w:rsid w:val="00F833BA"/>
    <w:rsid w:val="00F84FD0"/>
    <w:rsid w:val="00F859A8"/>
    <w:rsid w:val="00F86A65"/>
    <w:rsid w:val="00F86D87"/>
    <w:rsid w:val="00F870E1"/>
    <w:rsid w:val="00F8726B"/>
    <w:rsid w:val="00F9108B"/>
    <w:rsid w:val="00F91349"/>
    <w:rsid w:val="00F93A8A"/>
    <w:rsid w:val="00F95248"/>
    <w:rsid w:val="00F956A9"/>
    <w:rsid w:val="00F962E0"/>
    <w:rsid w:val="00F963ED"/>
    <w:rsid w:val="00F966CF"/>
    <w:rsid w:val="00F96CAE"/>
    <w:rsid w:val="00F97C99"/>
    <w:rsid w:val="00F97F4B"/>
    <w:rsid w:val="00FA4DAC"/>
    <w:rsid w:val="00FA662D"/>
    <w:rsid w:val="00FA73B1"/>
    <w:rsid w:val="00FB0CB9"/>
    <w:rsid w:val="00FB231D"/>
    <w:rsid w:val="00FB30EE"/>
    <w:rsid w:val="00FB3C18"/>
    <w:rsid w:val="00FB45F1"/>
    <w:rsid w:val="00FB4A72"/>
    <w:rsid w:val="00FB54E8"/>
    <w:rsid w:val="00FB5CC9"/>
    <w:rsid w:val="00FB62F5"/>
    <w:rsid w:val="00FB7054"/>
    <w:rsid w:val="00FC17B7"/>
    <w:rsid w:val="00FC2CB7"/>
    <w:rsid w:val="00FC4090"/>
    <w:rsid w:val="00FC55B4"/>
    <w:rsid w:val="00FD00E6"/>
    <w:rsid w:val="00FD06C9"/>
    <w:rsid w:val="00FD09A1"/>
    <w:rsid w:val="00FD2A7C"/>
    <w:rsid w:val="00FD4989"/>
    <w:rsid w:val="00FD59EB"/>
    <w:rsid w:val="00FD7299"/>
    <w:rsid w:val="00FE0021"/>
    <w:rsid w:val="00FE1FBE"/>
    <w:rsid w:val="00FE3901"/>
    <w:rsid w:val="00FE39D3"/>
    <w:rsid w:val="00FE418B"/>
    <w:rsid w:val="00FE4BCE"/>
    <w:rsid w:val="00FE54AE"/>
    <w:rsid w:val="00FE576A"/>
    <w:rsid w:val="00FE607E"/>
    <w:rsid w:val="00FE7E79"/>
    <w:rsid w:val="00FF0FA7"/>
    <w:rsid w:val="00FF3E7D"/>
    <w:rsid w:val="00FF5B99"/>
    <w:rsid w:val="00FF730C"/>
    <w:rsid w:val="00FF73F4"/>
    <w:rsid w:val="00FF7CE4"/>
    <w:rsid w:val="00FF7E39"/>
    <w:rsid w:val="01593C77"/>
    <w:rsid w:val="04BF588C"/>
    <w:rsid w:val="04C16F84"/>
    <w:rsid w:val="055C24BD"/>
    <w:rsid w:val="067D6383"/>
    <w:rsid w:val="075C1AB8"/>
    <w:rsid w:val="07743086"/>
    <w:rsid w:val="08877432"/>
    <w:rsid w:val="09884AAD"/>
    <w:rsid w:val="0A13210D"/>
    <w:rsid w:val="0A94225D"/>
    <w:rsid w:val="0B6158EF"/>
    <w:rsid w:val="0B81515D"/>
    <w:rsid w:val="0E422DFD"/>
    <w:rsid w:val="0E4A266A"/>
    <w:rsid w:val="0E5C5966"/>
    <w:rsid w:val="0FB620C2"/>
    <w:rsid w:val="0FDA7A1E"/>
    <w:rsid w:val="142A70E8"/>
    <w:rsid w:val="14C927FA"/>
    <w:rsid w:val="15420560"/>
    <w:rsid w:val="16376E99"/>
    <w:rsid w:val="17D5142A"/>
    <w:rsid w:val="17FF2717"/>
    <w:rsid w:val="1D14459C"/>
    <w:rsid w:val="1DC15D79"/>
    <w:rsid w:val="1E8C53E1"/>
    <w:rsid w:val="1FEB4C3E"/>
    <w:rsid w:val="205F3DE0"/>
    <w:rsid w:val="21A7055E"/>
    <w:rsid w:val="22CC31F6"/>
    <w:rsid w:val="233121F6"/>
    <w:rsid w:val="23F96765"/>
    <w:rsid w:val="24946B1E"/>
    <w:rsid w:val="254D231F"/>
    <w:rsid w:val="25875AFA"/>
    <w:rsid w:val="28285372"/>
    <w:rsid w:val="28AB1AFF"/>
    <w:rsid w:val="2C625EB4"/>
    <w:rsid w:val="2E67109A"/>
    <w:rsid w:val="2F0F2DE8"/>
    <w:rsid w:val="2FF124EE"/>
    <w:rsid w:val="312B7C81"/>
    <w:rsid w:val="324B1FD5"/>
    <w:rsid w:val="34E61EB0"/>
    <w:rsid w:val="37024FE0"/>
    <w:rsid w:val="38B93DC5"/>
    <w:rsid w:val="3CA02BD8"/>
    <w:rsid w:val="3D5F20B4"/>
    <w:rsid w:val="3FB61ACE"/>
    <w:rsid w:val="4015459A"/>
    <w:rsid w:val="41210759"/>
    <w:rsid w:val="42203D11"/>
    <w:rsid w:val="42FD77F7"/>
    <w:rsid w:val="458F0387"/>
    <w:rsid w:val="46037CE4"/>
    <w:rsid w:val="463351B6"/>
    <w:rsid w:val="465E7D60"/>
    <w:rsid w:val="46C937F2"/>
    <w:rsid w:val="47086643"/>
    <w:rsid w:val="482F4B50"/>
    <w:rsid w:val="498A690A"/>
    <w:rsid w:val="4E0167EE"/>
    <w:rsid w:val="4EC36DE4"/>
    <w:rsid w:val="507537AB"/>
    <w:rsid w:val="51004D18"/>
    <w:rsid w:val="514F30C0"/>
    <w:rsid w:val="547E7F44"/>
    <w:rsid w:val="54BA6AA3"/>
    <w:rsid w:val="556233C2"/>
    <w:rsid w:val="571050A0"/>
    <w:rsid w:val="60025ECE"/>
    <w:rsid w:val="611E1ED1"/>
    <w:rsid w:val="61475B62"/>
    <w:rsid w:val="61D5316E"/>
    <w:rsid w:val="62595B4D"/>
    <w:rsid w:val="637718CB"/>
    <w:rsid w:val="63CD67F3"/>
    <w:rsid w:val="671839B7"/>
    <w:rsid w:val="689C6431"/>
    <w:rsid w:val="6B1927E5"/>
    <w:rsid w:val="6B9E312D"/>
    <w:rsid w:val="6BAB7107"/>
    <w:rsid w:val="6C1236EB"/>
    <w:rsid w:val="6CF70C43"/>
    <w:rsid w:val="6E437BB5"/>
    <w:rsid w:val="6E8D131E"/>
    <w:rsid w:val="6F7101BE"/>
    <w:rsid w:val="71F3737C"/>
    <w:rsid w:val="73A530FF"/>
    <w:rsid w:val="73F27BAF"/>
    <w:rsid w:val="74257F85"/>
    <w:rsid w:val="7723593C"/>
    <w:rsid w:val="774B6B2F"/>
    <w:rsid w:val="78E73A5B"/>
    <w:rsid w:val="7A396538"/>
    <w:rsid w:val="7AB0076A"/>
    <w:rsid w:val="7EA54552"/>
    <w:rsid w:val="7F390D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Char"/>
    <w:link w:val="2"/>
    <w:qFormat/>
    <w:uiPriority w:val="0"/>
    <w:rPr>
      <w:b/>
      <w:bCs/>
      <w:kern w:val="44"/>
      <w:sz w:val="44"/>
      <w:szCs w:val="44"/>
    </w:rPr>
  </w:style>
  <w:style w:type="character" w:customStyle="1" w:styleId="35">
    <w:name w:val="标题 2 Char"/>
    <w:link w:val="3"/>
    <w:qFormat/>
    <w:uiPriority w:val="0"/>
    <w:rPr>
      <w:rFonts w:ascii="Arial" w:hAnsi="Arial" w:eastAsia="黑体"/>
      <w:b/>
      <w:bCs/>
      <w:kern w:val="2"/>
      <w:sz w:val="32"/>
      <w:szCs w:val="32"/>
    </w:rPr>
  </w:style>
  <w:style w:type="character" w:customStyle="1" w:styleId="36">
    <w:name w:val="标题 3 Char"/>
    <w:link w:val="4"/>
    <w:qFormat/>
    <w:uiPriority w:val="0"/>
    <w:rPr>
      <w:b/>
      <w:bCs/>
      <w:kern w:val="2"/>
      <w:sz w:val="32"/>
      <w:szCs w:val="32"/>
    </w:rPr>
  </w:style>
  <w:style w:type="character" w:customStyle="1" w:styleId="37">
    <w:name w:val="标题 4 Char"/>
    <w:link w:val="5"/>
    <w:qFormat/>
    <w:uiPriority w:val="0"/>
    <w:rPr>
      <w:rFonts w:ascii="Arial" w:hAnsi="Arial" w:eastAsia="黑体"/>
      <w:b/>
      <w:bCs/>
      <w:kern w:val="2"/>
      <w:sz w:val="28"/>
      <w:szCs w:val="28"/>
    </w:rPr>
  </w:style>
  <w:style w:type="character" w:customStyle="1" w:styleId="38">
    <w:name w:val="标题 5 Char"/>
    <w:link w:val="6"/>
    <w:qFormat/>
    <w:uiPriority w:val="0"/>
    <w:rPr>
      <w:b/>
      <w:bCs/>
      <w:kern w:val="2"/>
      <w:sz w:val="28"/>
      <w:szCs w:val="28"/>
    </w:rPr>
  </w:style>
  <w:style w:type="character" w:customStyle="1" w:styleId="39">
    <w:name w:val="标题 6 Char"/>
    <w:link w:val="7"/>
    <w:qFormat/>
    <w:uiPriority w:val="0"/>
    <w:rPr>
      <w:rFonts w:ascii="Arial" w:hAnsi="Arial" w:eastAsia="黑体"/>
      <w:b/>
      <w:bCs/>
      <w:kern w:val="2"/>
      <w:sz w:val="24"/>
      <w:szCs w:val="24"/>
    </w:rPr>
  </w:style>
  <w:style w:type="character" w:customStyle="1" w:styleId="40">
    <w:name w:val="标题 7 Char"/>
    <w:link w:val="8"/>
    <w:qFormat/>
    <w:uiPriority w:val="0"/>
    <w:rPr>
      <w:b/>
      <w:bCs/>
      <w:kern w:val="2"/>
      <w:sz w:val="24"/>
      <w:szCs w:val="24"/>
    </w:rPr>
  </w:style>
  <w:style w:type="character" w:customStyle="1" w:styleId="41">
    <w:name w:val="标题 8 Char"/>
    <w:link w:val="9"/>
    <w:qFormat/>
    <w:uiPriority w:val="0"/>
    <w:rPr>
      <w:rFonts w:ascii="Arial" w:hAnsi="Arial" w:eastAsia="黑体"/>
      <w:kern w:val="2"/>
      <w:sz w:val="24"/>
      <w:szCs w:val="24"/>
    </w:rPr>
  </w:style>
  <w:style w:type="character" w:customStyle="1" w:styleId="42">
    <w:name w:val="标题 9 Char"/>
    <w:link w:val="10"/>
    <w:qFormat/>
    <w:uiPriority w:val="0"/>
    <w:rPr>
      <w:rFonts w:ascii="Arial" w:hAnsi="Arial" w:eastAsia="黑体"/>
      <w:kern w:val="2"/>
      <w:sz w:val="21"/>
      <w:szCs w:val="21"/>
    </w:rPr>
  </w:style>
  <w:style w:type="character" w:customStyle="1" w:styleId="43">
    <w:name w:val="页眉 Char"/>
    <w:link w:val="18"/>
    <w:qFormat/>
    <w:uiPriority w:val="99"/>
    <w:rPr>
      <w:kern w:val="2"/>
      <w:sz w:val="18"/>
      <w:szCs w:val="18"/>
    </w:rPr>
  </w:style>
  <w:style w:type="character" w:customStyle="1" w:styleId="44">
    <w:name w:val="页脚 Char"/>
    <w:link w:val="17"/>
    <w:qFormat/>
    <w:uiPriority w:val="99"/>
    <w:rPr>
      <w:rFonts w:ascii="宋体"/>
      <w:kern w:val="2"/>
      <w:sz w:val="18"/>
      <w:szCs w:val="18"/>
    </w:rPr>
  </w:style>
  <w:style w:type="character" w:customStyle="1" w:styleId="45">
    <w:name w:val="批注框文本 Char"/>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Char"/>
    <w:link w:val="46"/>
    <w:qFormat/>
    <w:uiPriority w:val="29"/>
    <w:rPr>
      <w:i/>
      <w:iCs/>
      <w:color w:val="000000"/>
      <w:kern w:val="2"/>
      <w:sz w:val="21"/>
      <w:szCs w:val="21"/>
    </w:rPr>
  </w:style>
  <w:style w:type="character" w:customStyle="1" w:styleId="48">
    <w:name w:val="标题 Char"/>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Char"/>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Char"/>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ind w:left="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customStyle="1" w:styleId="230">
    <w:name w:val="段"/>
    <w:link w:val="23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31">
    <w:name w:val="段 Char"/>
    <w:link w:val="230"/>
    <w:qFormat/>
    <w:uiPriority w:val="0"/>
    <w:rPr>
      <w:rFonts w:ascii="宋体" w:hAnsi="Times New Roman"/>
      <w:sz w:val="21"/>
    </w:rPr>
  </w:style>
  <w:style w:type="paragraph" w:customStyle="1" w:styleId="232">
    <w:name w:val="一级条标题"/>
    <w:next w:val="230"/>
    <w:qFormat/>
    <w:uiPriority w:val="0"/>
    <w:p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233">
    <w:name w:val="列项——（一级）"/>
    <w:basedOn w:val="1"/>
    <w:qFormat/>
    <w:uiPriority w:val="0"/>
    <w:pPr>
      <w:adjustRightInd/>
      <w:spacing w:before="100" w:beforeAutospacing="1" w:after="100" w:afterAutospacing="1" w:line="240" w:lineRule="auto"/>
      <w:ind w:left="823" w:hanging="420"/>
    </w:pPr>
    <w:rPr>
      <w:rFonts w:ascii="宋体" w:hAnsi="Times New Roman"/>
      <w:kern w:val="0"/>
    </w:rPr>
  </w:style>
  <w:style w:type="paragraph" w:styleId="234">
    <w:name w:val="List Paragraph"/>
    <w:basedOn w:val="1"/>
    <w:unhideWhenUsed/>
    <w:qFormat/>
    <w:uiPriority w:val="99"/>
    <w:pPr>
      <w:ind w:firstLine="420" w:firstLineChars="200"/>
    </w:pPr>
  </w:style>
  <w:style w:type="table" w:customStyle="1" w:styleId="235">
    <w:name w:val="网格型1"/>
    <w:basedOn w:val="26"/>
    <w:unhideWhenUsed/>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C82169A5E244341BBCFCF71B8A1EEF1"/>
        <w:style w:val=""/>
        <w:category>
          <w:name w:val="常规"/>
          <w:gallery w:val="placeholder"/>
        </w:category>
        <w:types>
          <w:type w:val="bbPlcHdr"/>
        </w:types>
        <w:behaviors>
          <w:behavior w:val="content"/>
        </w:behaviors>
        <w:description w:val=""/>
        <w:guid w:val="{021D956E-82B8-4EAC-8673-F53824988646}"/>
      </w:docPartPr>
      <w:docPartBody>
        <w:p w14:paraId="54A1F00D">
          <w:pPr>
            <w:pStyle w:val="5"/>
          </w:pPr>
          <w:r>
            <w:rPr>
              <w:rStyle w:val="4"/>
              <w:rFonts w:hint="eastAsia"/>
            </w:rPr>
            <w:t>单击或点击此处输入文字。</w:t>
          </w:r>
        </w:p>
      </w:docPartBody>
    </w:docPart>
    <w:docPart>
      <w:docPartPr>
        <w:name w:val="C36458AF86934CA09C81E380E4A0409F"/>
        <w:style w:val=""/>
        <w:category>
          <w:name w:val="常规"/>
          <w:gallery w:val="placeholder"/>
        </w:category>
        <w:types>
          <w:type w:val="bbPlcHdr"/>
        </w:types>
        <w:behaviors>
          <w:behavior w:val="content"/>
        </w:behaviors>
        <w:description w:val=""/>
        <w:guid w:val="{E91B182B-D84F-4E2A-95C8-825D2714469B}"/>
      </w:docPartPr>
      <w:docPartBody>
        <w:p w14:paraId="37A28CBF">
          <w:pPr>
            <w:pStyle w:val="6"/>
          </w:pPr>
          <w:r>
            <w:rPr>
              <w:rStyle w:val="4"/>
              <w:rFonts w:hint="eastAsia"/>
            </w:rPr>
            <w:t>选择一项。</w:t>
          </w:r>
        </w:p>
      </w:docPartBody>
    </w:docPart>
    <w:docPart>
      <w:docPartPr>
        <w:name w:val="92AC425573B449EEA6A6EA02BC6D982F"/>
        <w:style w:val=""/>
        <w:category>
          <w:name w:val="常规"/>
          <w:gallery w:val="placeholder"/>
        </w:category>
        <w:types>
          <w:type w:val="bbPlcHdr"/>
        </w:types>
        <w:behaviors>
          <w:behavior w:val="content"/>
        </w:behaviors>
        <w:description w:val=""/>
        <w:guid w:val="{36748FAD-7C3A-421E-A6F5-44BC988DD81C}"/>
      </w:docPartPr>
      <w:docPartBody>
        <w:p w14:paraId="750325BB">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3E7"/>
    <w:rsid w:val="000129FF"/>
    <w:rsid w:val="00193CED"/>
    <w:rsid w:val="002857F4"/>
    <w:rsid w:val="002B0813"/>
    <w:rsid w:val="004B6D40"/>
    <w:rsid w:val="00505C14"/>
    <w:rsid w:val="005C13E1"/>
    <w:rsid w:val="006B6F4D"/>
    <w:rsid w:val="00726B34"/>
    <w:rsid w:val="00764F2D"/>
    <w:rsid w:val="007909CF"/>
    <w:rsid w:val="007D33E7"/>
    <w:rsid w:val="00874B0B"/>
    <w:rsid w:val="009C36D0"/>
    <w:rsid w:val="00A750CE"/>
    <w:rsid w:val="00AC75CD"/>
    <w:rsid w:val="00AF3B31"/>
    <w:rsid w:val="00BC6150"/>
    <w:rsid w:val="00C279ED"/>
    <w:rsid w:val="00D62D23"/>
    <w:rsid w:val="00D75E3D"/>
    <w:rsid w:val="00DC2C2D"/>
    <w:rsid w:val="00E12773"/>
    <w:rsid w:val="00E93B1F"/>
    <w:rsid w:val="00F44528"/>
    <w:rsid w:val="00F71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CC82169A5E244341BBCFCF71B8A1EEF1"/>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C36458AF86934CA09C81E380E4A0409F"/>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92AC425573B449EEA6A6EA02BC6D982F"/>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C10BB8-1D5F-4C3E-AA0F-C43D24449AAC}">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10</Pages>
  <Words>80</Words>
  <Characters>161</Characters>
  <Lines>30</Lines>
  <Paragraphs>8</Paragraphs>
  <TotalTime>2</TotalTime>
  <ScaleCrop>false</ScaleCrop>
  <LinksUpToDate>false</LinksUpToDate>
  <CharactersWithSpaces>185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2026-10-09T07:43:00Z</dcterms:created>
  <dc:creator>Administrator</dc:creator>
  <dc:description>&lt;config cover="true" show_menu="true" version="1.0.0" doctype="SDKXY"&gt;_x000d_
&lt;/config&gt;</dc:description>
  <cp:lastModifiedBy>huang华邦</cp:lastModifiedBy>
  <cp:lastPrinted>2020-08-30T10:00:00Z</cp:lastPrinted>
  <dcterms:modified xsi:type="dcterms:W3CDTF">2026-10-25T15:07:02Z</dcterms:modified>
  <dc:title>地方标准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2052-12.1.0.29161</vt:lpwstr>
  </property>
  <property fmtid="{D5CDD505-2E9C-101B-9397-08002B2CF9AE}" pid="15" name="ICV">
    <vt:lpwstr>14358D9DCFD74D8E9E6B643EFC8FBB54_13</vt:lpwstr>
  </property>
  <property fmtid="{D5CDD505-2E9C-101B-9397-08002B2CF9AE}" pid="16" name="KSOTemplateDocerSaveRecord">
    <vt:lpwstr>eyJoZGlkIjoiNTUzOGNkM2E5ZjI0YTEwNTBjOWE1YmY2NzA2Njk0YWUiLCJ1c2VySWQiOiIzOTU0NDEwNjIifQ==</vt:lpwstr>
  </property>
</Properties>
</file>