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A24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52"/>
          <w:szCs w:val="52"/>
          <w:highlight w:val="none"/>
          <w:lang w:val="en-US" w:eastAsia="zh-CN" w:bidi="ar"/>
        </w:rPr>
      </w:pPr>
    </w:p>
    <w:p w14:paraId="22EB10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52"/>
          <w:szCs w:val="52"/>
          <w:highlight w:val="none"/>
          <w:lang w:val="en-US" w:eastAsia="zh-CN" w:bidi="ar"/>
        </w:rPr>
      </w:pPr>
      <w:r>
        <w:rPr>
          <w:rFonts w:hint="eastAsia" w:ascii="宋体" w:hAnsi="宋体" w:eastAsia="宋体" w:cs="宋体"/>
          <w:b/>
          <w:bCs w:val="0"/>
          <w:color w:val="auto"/>
          <w:kern w:val="2"/>
          <w:sz w:val="52"/>
          <w:szCs w:val="52"/>
          <w:highlight w:val="none"/>
          <w:lang w:val="en-US" w:eastAsia="zh-CN" w:bidi="ar"/>
        </w:rPr>
        <w:t>南沙滨海大道工程绿化工程</w:t>
      </w:r>
    </w:p>
    <w:p w14:paraId="6AACA2BB">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40"/>
          <w:szCs w:val="40"/>
          <w:highlight w:val="none"/>
        </w:rPr>
      </w:pPr>
      <w:r>
        <w:rPr>
          <w:rFonts w:hint="eastAsia" w:ascii="宋体" w:hAnsi="宋体" w:eastAsia="宋体" w:cs="宋体"/>
          <w:b/>
          <w:bCs w:val="0"/>
          <w:color w:val="auto"/>
          <w:kern w:val="2"/>
          <w:sz w:val="52"/>
          <w:szCs w:val="52"/>
          <w:highlight w:val="none"/>
          <w:lang w:val="en-US" w:eastAsia="zh-CN" w:bidi="ar"/>
        </w:rPr>
        <w:t>施工专业承包</w:t>
      </w:r>
    </w:p>
    <w:p w14:paraId="7EC347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pacing w:val="26"/>
          <w:kern w:val="2"/>
          <w:sz w:val="96"/>
          <w:szCs w:val="96"/>
          <w:highlight w:val="none"/>
        </w:rPr>
      </w:pPr>
      <w:r>
        <w:rPr>
          <w:rFonts w:hint="eastAsia" w:ascii="宋体" w:hAnsi="宋体" w:eastAsia="宋体" w:cs="宋体"/>
          <w:b/>
          <w:bCs w:val="0"/>
          <w:color w:val="auto"/>
          <w:spacing w:val="26"/>
          <w:kern w:val="2"/>
          <w:sz w:val="96"/>
          <w:szCs w:val="96"/>
          <w:highlight w:val="none"/>
          <w:lang w:val="en-US" w:eastAsia="zh-CN" w:bidi="ar"/>
        </w:rPr>
        <w:t xml:space="preserve"> </w:t>
      </w:r>
    </w:p>
    <w:p w14:paraId="02A485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pacing w:val="26"/>
          <w:kern w:val="2"/>
          <w:sz w:val="96"/>
          <w:szCs w:val="96"/>
          <w:highlight w:val="none"/>
        </w:rPr>
      </w:pPr>
      <w:r>
        <w:rPr>
          <w:rFonts w:hint="eastAsia" w:ascii="宋体" w:hAnsi="宋体" w:eastAsia="宋体" w:cs="宋体"/>
          <w:b/>
          <w:bCs w:val="0"/>
          <w:color w:val="auto"/>
          <w:spacing w:val="26"/>
          <w:kern w:val="2"/>
          <w:sz w:val="96"/>
          <w:szCs w:val="96"/>
          <w:highlight w:val="none"/>
          <w:lang w:val="en-US" w:eastAsia="zh-CN" w:bidi="ar"/>
        </w:rPr>
        <w:t xml:space="preserve"> </w:t>
      </w:r>
    </w:p>
    <w:p w14:paraId="6402F0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spacing w:val="26"/>
          <w:kern w:val="2"/>
          <w:sz w:val="110"/>
          <w:szCs w:val="110"/>
          <w:highlight w:val="none"/>
        </w:rPr>
      </w:pPr>
      <w:r>
        <w:rPr>
          <w:rFonts w:hint="eastAsia" w:ascii="宋体" w:hAnsi="宋体" w:eastAsia="宋体" w:cs="宋体"/>
          <w:b/>
          <w:bCs w:val="0"/>
          <w:color w:val="auto"/>
          <w:spacing w:val="26"/>
          <w:kern w:val="2"/>
          <w:sz w:val="96"/>
          <w:szCs w:val="96"/>
          <w:highlight w:val="none"/>
          <w:lang w:val="en-US" w:eastAsia="zh-CN" w:bidi="ar"/>
        </w:rPr>
        <w:t>招标公告</w:t>
      </w:r>
    </w:p>
    <w:p w14:paraId="610D8CB3">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69487EC4">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511DA05">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02EABCF9">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1E5757D4">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lang w:val="en-US" w:eastAsia="zh-CN" w:bidi="ar"/>
        </w:rPr>
      </w:pPr>
    </w:p>
    <w:p w14:paraId="515BC070">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D0A2E93">
      <w:pPr>
        <w:spacing w:line="360" w:lineRule="auto"/>
        <w:ind w:firstLine="600" w:firstLineChars="2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 xml:space="preserve">招  </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rPr>
        <w:t xml:space="preserve">标 </w:t>
      </w:r>
      <w:r>
        <w:rPr>
          <w:rFonts w:hint="eastAsia" w:ascii="宋体" w:hAnsi="宋体" w:eastAsia="宋体"/>
          <w:color w:val="auto"/>
          <w:sz w:val="30"/>
          <w:szCs w:val="30"/>
          <w:highlight w:val="none"/>
          <w:lang w:val="en-US" w:eastAsia="zh-CN"/>
        </w:rPr>
        <w:t xml:space="preserve">  人</w:t>
      </w:r>
      <w:r>
        <w:rPr>
          <w:rFonts w:hint="eastAsia" w:ascii="宋体" w:hAnsi="宋体" w:eastAsia="宋体"/>
          <w:color w:val="auto"/>
          <w:sz w:val="30"/>
          <w:szCs w:val="30"/>
          <w:highlight w:val="none"/>
        </w:rPr>
        <w:t>：</w:t>
      </w:r>
      <w:r>
        <w:rPr>
          <w:rFonts w:hint="eastAsia" w:ascii="宋体" w:hAnsi="宋体" w:eastAsia="宋体"/>
          <w:color w:val="auto"/>
          <w:sz w:val="30"/>
          <w:szCs w:val="30"/>
          <w:highlight w:val="none"/>
          <w:u w:val="single"/>
          <w:lang w:eastAsia="zh-CN"/>
        </w:rPr>
        <w:t>广州南沙经济技术开发区建设中心</w:t>
      </w:r>
    </w:p>
    <w:p w14:paraId="22538259">
      <w:pPr>
        <w:spacing w:line="360" w:lineRule="auto"/>
        <w:ind w:firstLine="600" w:firstLineChars="200"/>
        <w:rPr>
          <w:rFonts w:hint="eastAsia" w:ascii="宋体" w:hAnsi="宋体" w:eastAsia="宋体"/>
          <w:color w:val="auto"/>
          <w:sz w:val="30"/>
          <w:szCs w:val="30"/>
          <w:highlight w:val="none"/>
          <w:lang w:eastAsia="zh-CN"/>
        </w:rPr>
      </w:pPr>
      <w:r>
        <w:rPr>
          <w:rFonts w:hint="eastAsia" w:ascii="宋体" w:hAnsi="宋体" w:eastAsia="宋体"/>
          <w:color w:val="auto"/>
          <w:sz w:val="30"/>
          <w:szCs w:val="30"/>
          <w:highlight w:val="none"/>
        </w:rPr>
        <w:t>项目建设管理单位：</w:t>
      </w:r>
      <w:r>
        <w:rPr>
          <w:rFonts w:hint="eastAsia" w:ascii="宋体" w:hAnsi="宋体" w:eastAsia="宋体"/>
          <w:color w:val="auto"/>
          <w:sz w:val="30"/>
          <w:szCs w:val="30"/>
          <w:highlight w:val="none"/>
          <w:u w:val="single"/>
          <w:lang w:eastAsia="zh-CN"/>
        </w:rPr>
        <w:t>广州珠江监理咨询集团有限公司</w:t>
      </w:r>
    </w:p>
    <w:p w14:paraId="539A1096">
      <w:pPr>
        <w:spacing w:line="360" w:lineRule="auto"/>
        <w:ind w:firstLine="600" w:firstLineChars="2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lang w:eastAsia="zh-CN"/>
        </w:rPr>
        <w:t>广州市云兴建设工程监理有限公司</w:t>
      </w:r>
    </w:p>
    <w:p w14:paraId="2F4230E8">
      <w:pPr>
        <w:spacing w:line="360" w:lineRule="auto"/>
        <w:ind w:firstLine="600" w:firstLineChars="200"/>
        <w:rPr>
          <w:rFonts w:ascii="宋体" w:hAnsi="宋体" w:eastAsia="宋体"/>
          <w:color w:val="auto"/>
          <w:sz w:val="30"/>
          <w:szCs w:val="30"/>
          <w:highlight w:val="non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lang w:val="en-US" w:eastAsia="zh-CN"/>
        </w:rPr>
        <w:t>2025</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lang w:val="en-US" w:eastAsia="zh-CN"/>
        </w:rPr>
        <w:t>12</w:t>
      </w:r>
      <w:r>
        <w:rPr>
          <w:rFonts w:hint="eastAsia" w:ascii="宋体" w:hAnsi="宋体" w:eastAsia="宋体"/>
          <w:color w:val="auto"/>
          <w:sz w:val="30"/>
          <w:szCs w:val="30"/>
          <w:highlight w:val="none"/>
        </w:rPr>
        <w:t>月</w:t>
      </w:r>
    </w:p>
    <w:p w14:paraId="061154CB">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宋体" w:cs="Times New Roman"/>
          <w:b/>
          <w:bCs w:val="0"/>
          <w:color w:val="auto"/>
          <w:kern w:val="2"/>
          <w:sz w:val="32"/>
          <w:szCs w:val="32"/>
          <w:highlight w:val="none"/>
        </w:rPr>
      </w:pPr>
      <w:r>
        <w:rPr>
          <w:rFonts w:hint="eastAsia" w:ascii="Times New Roman" w:hAnsi="Times New Roman" w:eastAsia="宋体" w:cs="Times New Roman"/>
          <w:b/>
          <w:bCs w:val="0"/>
          <w:color w:val="auto"/>
          <w:kern w:val="2"/>
          <w:sz w:val="32"/>
          <w:szCs w:val="32"/>
          <w:highlight w:val="none"/>
          <w:lang w:val="en-US" w:eastAsia="zh-CN" w:bidi="ar"/>
        </w:rPr>
        <w:t xml:space="preserve"> </w:t>
      </w:r>
    </w:p>
    <w:p w14:paraId="15CD0D38">
      <w:pPr>
        <w:pStyle w:val="15"/>
        <w:spacing w:line="360" w:lineRule="auto"/>
        <w:jc w:val="center"/>
        <w:rPr>
          <w:rFonts w:hint="eastAsia" w:ascii="宋体" w:hAnsi="宋体" w:eastAsia="宋体"/>
          <w:b/>
          <w:bCs/>
          <w:color w:val="auto"/>
          <w:sz w:val="36"/>
          <w:szCs w:val="36"/>
          <w:highlight w:val="none"/>
          <w:u w:val="none"/>
        </w:rPr>
        <w:sectPr>
          <w:headerReference r:id="rId4" w:type="first"/>
          <w:headerReference r:id="rId3" w:type="default"/>
          <w:footerReference r:id="rId5" w:type="default"/>
          <w:pgSz w:w="11906" w:h="16838"/>
          <w:pgMar w:top="1440" w:right="1800" w:bottom="1440" w:left="1800" w:header="851" w:footer="992" w:gutter="0"/>
          <w:pgNumType w:fmt="decimal" w:start="0"/>
          <w:cols w:space="720" w:num="1"/>
          <w:titlePg/>
          <w:docGrid w:type="lines" w:linePitch="312" w:charSpace="0"/>
        </w:sectPr>
      </w:pPr>
    </w:p>
    <w:p w14:paraId="1D9033E0">
      <w:pPr>
        <w:pStyle w:val="15"/>
        <w:spacing w:line="360" w:lineRule="auto"/>
        <w:jc w:val="center"/>
        <w:rPr>
          <w:rFonts w:hint="eastAsia" w:ascii="宋体" w:hAnsi="宋体" w:eastAsia="宋体"/>
          <w:b/>
          <w:bCs/>
          <w:color w:val="auto"/>
          <w:sz w:val="36"/>
          <w:szCs w:val="36"/>
          <w:highlight w:val="none"/>
          <w:u w:val="none"/>
        </w:rPr>
      </w:pPr>
      <w:r>
        <w:rPr>
          <w:rFonts w:hint="eastAsia" w:eastAsia="宋体"/>
          <w:b/>
          <w:bCs/>
          <w:color w:val="auto"/>
          <w:sz w:val="36"/>
          <w:szCs w:val="36"/>
          <w:highlight w:val="none"/>
          <w:u w:val="none"/>
          <w:lang w:eastAsia="zh-CN"/>
        </w:rPr>
        <w:t>南沙滨海大道工程绿化工程施工专业承包</w:t>
      </w:r>
      <w:r>
        <w:rPr>
          <w:rFonts w:hint="eastAsia" w:ascii="宋体" w:hAnsi="宋体" w:eastAsia="宋体"/>
          <w:b/>
          <w:bCs/>
          <w:color w:val="auto"/>
          <w:sz w:val="36"/>
          <w:szCs w:val="36"/>
          <w:highlight w:val="none"/>
          <w:u w:val="none"/>
        </w:rPr>
        <w:t>招标公告</w:t>
      </w:r>
    </w:p>
    <w:p w14:paraId="385FE08E">
      <w:pPr>
        <w:pStyle w:val="15"/>
        <w:spacing w:line="360" w:lineRule="auto"/>
        <w:jc w:val="center"/>
        <w:rPr>
          <w:rFonts w:hint="eastAsia" w:ascii="宋体" w:hAnsi="宋体" w:eastAsia="宋体"/>
          <w:b/>
          <w:bCs/>
          <w:color w:val="auto"/>
          <w:sz w:val="36"/>
          <w:szCs w:val="36"/>
          <w:highlight w:val="none"/>
          <w:u w:val="none"/>
        </w:rPr>
      </w:pPr>
    </w:p>
    <w:p w14:paraId="4106431C">
      <w:pPr>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根据</w:t>
      </w:r>
      <w:r>
        <w:rPr>
          <w:rFonts w:hint="eastAsia" w:ascii="宋体" w:hAnsi="宋体" w:cs="宋体"/>
          <w:color w:val="000000"/>
          <w:sz w:val="24"/>
          <w:highlight w:val="none"/>
          <w:u w:val="single"/>
        </w:rPr>
        <w:t>广州市南沙区发展和改革局、广州南沙经济技术开发区发展和改革局</w:t>
      </w:r>
      <w:r>
        <w:rPr>
          <w:rFonts w:hint="eastAsia" w:ascii="宋体" w:hAnsi="宋体" w:cs="宋体"/>
          <w:color w:val="000000"/>
          <w:sz w:val="24"/>
          <w:highlight w:val="none"/>
          <w:u w:val="none"/>
          <w:lang w:val="en-US" w:eastAsia="zh-CN"/>
        </w:rPr>
        <w:t>以</w:t>
      </w:r>
      <w:r>
        <w:rPr>
          <w:rFonts w:hint="eastAsia" w:ascii="宋体" w:hAnsi="宋体" w:eastAsia="宋体" w:cs="宋体"/>
          <w:color w:val="000000"/>
          <w:sz w:val="24"/>
          <w:highlight w:val="none"/>
          <w:u w:val="single"/>
          <w:lang w:val="en-US" w:eastAsia="zh-CN"/>
        </w:rPr>
        <w:t>穗南发改投批〔2025〕26号</w:t>
      </w:r>
      <w:r>
        <w:rPr>
          <w:rFonts w:hint="eastAsia" w:ascii="宋体" w:hAnsi="宋体" w:eastAsia="宋体" w:cs="Times New Roman"/>
          <w:color w:val="auto"/>
          <w:sz w:val="24"/>
          <w:szCs w:val="24"/>
          <w:highlight w:val="none"/>
        </w:rPr>
        <w:t>批准，并且图纸和技术资料满足施工要求，根据</w:t>
      </w:r>
      <w:r>
        <w:rPr>
          <w:rFonts w:hint="eastAsia" w:ascii="宋体" w:hAnsi="宋体" w:cs="宋体"/>
          <w:color w:val="000000"/>
          <w:sz w:val="24"/>
          <w:highlight w:val="none"/>
          <w:u w:val="single"/>
        </w:rPr>
        <w:t>广州市南沙区发展和改革局、广州南沙经济技术开发区发展和改革局</w:t>
      </w:r>
      <w:r>
        <w:rPr>
          <w:rFonts w:hint="eastAsia" w:ascii="宋体" w:hAnsi="宋体" w:cs="宋体"/>
          <w:color w:val="000000"/>
          <w:sz w:val="24"/>
          <w:highlight w:val="none"/>
          <w:u w:val="none"/>
          <w:lang w:val="en-US" w:eastAsia="zh-CN"/>
        </w:rPr>
        <w:t>以</w:t>
      </w:r>
      <w:r>
        <w:rPr>
          <w:rFonts w:hint="eastAsia" w:ascii="宋体" w:hAnsi="宋体" w:eastAsia="宋体" w:cs="宋体"/>
          <w:color w:val="000000"/>
          <w:sz w:val="24"/>
          <w:highlight w:val="none"/>
          <w:u w:val="single"/>
          <w:lang w:val="en-US" w:eastAsia="zh-CN"/>
        </w:rPr>
        <w:t>穗南发改投批〔2025〕26号</w:t>
      </w:r>
      <w:r>
        <w:rPr>
          <w:rFonts w:hint="eastAsia" w:ascii="宋体" w:hAnsi="宋体" w:eastAsia="宋体" w:cs="宋体"/>
          <w:color w:val="000000"/>
          <w:sz w:val="24"/>
          <w:highlight w:val="none"/>
          <w:u w:val="none"/>
          <w:lang w:val="en-US" w:eastAsia="zh-CN"/>
        </w:rPr>
        <w:t>批准，</w:t>
      </w:r>
      <w:r>
        <w:rPr>
          <w:rFonts w:hint="eastAsia" w:ascii="宋体" w:hAnsi="宋体" w:eastAsia="宋体" w:cs="Times New Roman"/>
          <w:color w:val="auto"/>
          <w:sz w:val="24"/>
          <w:szCs w:val="24"/>
          <w:highlight w:val="none"/>
        </w:rPr>
        <w:t>资金已经落实，</w:t>
      </w:r>
      <w:r>
        <w:rPr>
          <w:rFonts w:hint="eastAsia" w:ascii="宋体" w:hAnsi="宋体" w:eastAsia="宋体" w:cs="Times New Roman"/>
          <w:color w:val="auto"/>
          <w:sz w:val="24"/>
          <w:szCs w:val="24"/>
          <w:highlight w:val="none"/>
          <w:u w:val="single"/>
          <w:lang w:eastAsia="zh-CN"/>
        </w:rPr>
        <w:t>广州南沙经济技术开发区建设中心</w:t>
      </w:r>
      <w:r>
        <w:rPr>
          <w:rFonts w:hint="eastAsia" w:ascii="宋体" w:hAnsi="宋体" w:eastAsia="宋体" w:cs="Times New Roman"/>
          <w:color w:val="auto"/>
          <w:sz w:val="24"/>
          <w:szCs w:val="24"/>
          <w:highlight w:val="none"/>
        </w:rPr>
        <w:t>现对</w:t>
      </w:r>
      <w:r>
        <w:rPr>
          <w:rFonts w:hint="eastAsia" w:ascii="宋体" w:hAnsi="宋体" w:eastAsia="宋体" w:cs="Times New Roman"/>
          <w:color w:val="auto"/>
          <w:sz w:val="24"/>
          <w:szCs w:val="24"/>
          <w:highlight w:val="none"/>
          <w:u w:val="single"/>
          <w:lang w:eastAsia="zh-CN"/>
        </w:rPr>
        <w:t>南沙滨海大道工程绿化工程施工专业承包</w:t>
      </w:r>
      <w:r>
        <w:rPr>
          <w:rFonts w:hint="eastAsia" w:ascii="宋体" w:hAnsi="宋体" w:eastAsia="宋体" w:cs="Times New Roman"/>
          <w:color w:val="auto"/>
          <w:sz w:val="24"/>
          <w:szCs w:val="24"/>
          <w:highlight w:val="none"/>
        </w:rPr>
        <w:t>工程进行公开招标，选定承包人。</w:t>
      </w:r>
    </w:p>
    <w:p w14:paraId="1969086F">
      <w:pPr>
        <w:spacing w:line="360" w:lineRule="auto"/>
        <w:ind w:firstLine="540" w:firstLineChars="225"/>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rPr>
        <w:t>一、工程名称：</w:t>
      </w:r>
      <w:r>
        <w:rPr>
          <w:rFonts w:hint="eastAsia" w:ascii="宋体" w:hAnsi="宋体" w:eastAsia="宋体" w:cs="Times New Roman"/>
          <w:color w:val="auto"/>
          <w:sz w:val="24"/>
          <w:szCs w:val="24"/>
          <w:highlight w:val="none"/>
          <w:u w:val="single"/>
          <w:lang w:eastAsia="zh-CN"/>
        </w:rPr>
        <w:t>南沙滨海大道工程绿化工程施工专业承包</w:t>
      </w:r>
    </w:p>
    <w:p w14:paraId="76A75262">
      <w:pPr>
        <w:spacing w:line="360" w:lineRule="auto"/>
        <w:ind w:firstLine="1020" w:firstLineChars="42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项目代码：</w:t>
      </w:r>
      <w:r>
        <w:rPr>
          <w:rFonts w:hint="eastAsia" w:ascii="宋体" w:hAnsi="宋体" w:eastAsia="宋体" w:cs="Times New Roman"/>
          <w:color w:val="auto"/>
          <w:sz w:val="24"/>
          <w:szCs w:val="24"/>
          <w:highlight w:val="none"/>
          <w:u w:val="single"/>
          <w:lang w:val="en-US" w:eastAsia="zh-CN"/>
        </w:rPr>
        <w:t>2306-440115-04-01-185441</w:t>
      </w:r>
    </w:p>
    <w:p w14:paraId="3188281F">
      <w:pPr>
        <w:spacing w:line="360" w:lineRule="auto"/>
        <w:ind w:firstLine="540" w:firstLineChars="225"/>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二、招标</w:t>
      </w:r>
      <w:r>
        <w:rPr>
          <w:rFonts w:hint="eastAsia" w:ascii="宋体" w:hAnsi="宋体" w:eastAsia="宋体" w:cs="Times New Roman"/>
          <w:color w:val="auto"/>
          <w:sz w:val="24"/>
          <w:szCs w:val="24"/>
          <w:highlight w:val="none"/>
          <w:lang w:val="en-US" w:eastAsia="zh-CN"/>
        </w:rPr>
        <w:t>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lang w:eastAsia="zh-CN"/>
        </w:rPr>
        <w:t>广州南沙经济技术开发区建设中心</w:t>
      </w:r>
    </w:p>
    <w:p w14:paraId="7E133131">
      <w:pPr>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联系人：</w:t>
      </w:r>
      <w:r>
        <w:rPr>
          <w:rFonts w:hint="eastAsia" w:ascii="宋体" w:hAnsi="宋体" w:eastAsia="宋体" w:cs="Times New Roman"/>
          <w:color w:val="auto"/>
          <w:sz w:val="24"/>
          <w:szCs w:val="24"/>
          <w:highlight w:val="none"/>
          <w:u w:val="single"/>
          <w:lang w:val="en-US" w:eastAsia="zh-CN"/>
        </w:rPr>
        <w:t>张工</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联系电话：</w:t>
      </w:r>
      <w:r>
        <w:rPr>
          <w:rFonts w:hint="eastAsia" w:ascii="宋体" w:hAnsi="宋体" w:cs="宋体"/>
          <w:color w:val="auto"/>
          <w:sz w:val="24"/>
          <w:highlight w:val="none"/>
          <w:u w:val="single"/>
        </w:rPr>
        <w:t>020-39910657</w:t>
      </w:r>
    </w:p>
    <w:p w14:paraId="1D91BEEE">
      <w:pPr>
        <w:spacing w:line="360" w:lineRule="auto"/>
        <w:ind w:firstLine="540" w:firstLineChars="225"/>
        <w:rPr>
          <w:rFonts w:hint="eastAsia" w:ascii="宋体" w:hAnsi="宋体" w:cs="宋体" w:eastAsiaTheme="minorEastAsia"/>
          <w:sz w:val="24"/>
          <w:highlight w:val="none"/>
          <w:u w:val="single"/>
          <w:lang w:eastAsia="zh-CN"/>
        </w:rPr>
      </w:pPr>
      <w:r>
        <w:rPr>
          <w:rFonts w:hint="eastAsia" w:ascii="宋体" w:hAnsi="宋体" w:eastAsia="宋体" w:cs="Times New Roman"/>
          <w:color w:val="auto"/>
          <w:sz w:val="24"/>
          <w:szCs w:val="24"/>
          <w:highlight w:val="none"/>
        </w:rPr>
        <w:t xml:space="preserve">    </w:t>
      </w:r>
      <w:r>
        <w:rPr>
          <w:rFonts w:hint="eastAsia" w:ascii="宋体" w:hAnsi="宋体" w:cs="宋体"/>
          <w:sz w:val="24"/>
          <w:highlight w:val="none"/>
        </w:rPr>
        <w:t>项目建设管理单位：</w:t>
      </w:r>
      <w:r>
        <w:rPr>
          <w:rFonts w:hint="eastAsia" w:ascii="宋体" w:hAnsi="宋体" w:cs="宋体"/>
          <w:sz w:val="24"/>
          <w:highlight w:val="none"/>
          <w:u w:val="single"/>
          <w:lang w:eastAsia="zh-CN"/>
        </w:rPr>
        <w:t>广州珠江监理咨询集团有限公司</w:t>
      </w:r>
    </w:p>
    <w:p w14:paraId="00B1D76D">
      <w:pPr>
        <w:spacing w:line="360" w:lineRule="auto"/>
        <w:ind w:firstLine="1020" w:firstLineChars="425"/>
        <w:rPr>
          <w:rFonts w:hint="eastAsia" w:ascii="宋体" w:hAnsi="宋体" w:cs="宋体" w:eastAsiaTheme="minorEastAsia"/>
          <w:sz w:val="24"/>
          <w:highlight w:val="none"/>
          <w:u w:val="single"/>
          <w:lang w:eastAsia="zh-CN"/>
        </w:rPr>
      </w:pPr>
      <w:r>
        <w:rPr>
          <w:rFonts w:hint="eastAsia" w:ascii="宋体" w:hAnsi="宋体" w:cs="宋体"/>
          <w:sz w:val="24"/>
          <w:highlight w:val="none"/>
        </w:rPr>
        <w:t>联系人：</w:t>
      </w:r>
      <w:r>
        <w:rPr>
          <w:rFonts w:hint="eastAsia" w:ascii="宋体" w:hAnsi="宋体" w:cs="宋体"/>
          <w:sz w:val="24"/>
          <w:highlight w:val="none"/>
          <w:u w:val="single"/>
          <w:lang w:val="en-US" w:eastAsia="zh-CN"/>
        </w:rPr>
        <w:t>张工</w:t>
      </w:r>
      <w:r>
        <w:rPr>
          <w:rFonts w:hint="eastAsia" w:ascii="宋体" w:hAnsi="宋体" w:cs="宋体"/>
          <w:sz w:val="24"/>
          <w:highlight w:val="none"/>
        </w:rPr>
        <w:t xml:space="preserve">     联系电话：</w:t>
      </w:r>
      <w:r>
        <w:rPr>
          <w:rFonts w:hint="eastAsia" w:ascii="宋体" w:hAnsi="宋体" w:cs="宋体"/>
          <w:sz w:val="24"/>
          <w:highlight w:val="none"/>
          <w:u w:val="single"/>
          <w:lang w:eastAsia="zh-CN"/>
        </w:rPr>
        <w:t>15970672853</w:t>
      </w:r>
    </w:p>
    <w:p w14:paraId="23165CFD">
      <w:pPr>
        <w:spacing w:line="360" w:lineRule="auto"/>
        <w:ind w:firstLine="1020" w:firstLineChars="425"/>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招标代理机构：</w:t>
      </w:r>
      <w:r>
        <w:rPr>
          <w:rFonts w:hint="eastAsia" w:ascii="宋体" w:hAnsi="宋体" w:eastAsia="宋体" w:cs="Times New Roman"/>
          <w:color w:val="auto"/>
          <w:sz w:val="24"/>
          <w:szCs w:val="24"/>
          <w:highlight w:val="none"/>
          <w:u w:val="single"/>
          <w:lang w:eastAsia="zh-CN"/>
        </w:rPr>
        <w:t>广州市云兴建设工程监理有限公司</w:t>
      </w:r>
    </w:p>
    <w:p w14:paraId="516A29C9">
      <w:pPr>
        <w:spacing w:line="360" w:lineRule="auto"/>
        <w:ind w:firstLine="540" w:firstLineChars="225"/>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    联系人：</w:t>
      </w:r>
      <w:r>
        <w:rPr>
          <w:rFonts w:hint="eastAsia" w:ascii="宋体" w:hAnsi="宋体" w:eastAsia="宋体" w:cs="Times New Roman"/>
          <w:color w:val="auto"/>
          <w:sz w:val="24"/>
          <w:szCs w:val="24"/>
          <w:highlight w:val="none"/>
          <w:u w:val="single"/>
          <w:lang w:val="en-US" w:eastAsia="zh-CN"/>
        </w:rPr>
        <w:t>梁工</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u w:val="single"/>
          <w:lang w:val="en-US" w:eastAsia="zh-CN"/>
        </w:rPr>
        <w:t>13570370436</w:t>
      </w:r>
    </w:p>
    <w:p w14:paraId="26BA60ED">
      <w:pPr>
        <w:spacing w:line="360" w:lineRule="auto"/>
        <w:ind w:firstLine="540" w:firstLineChars="22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招标监督机构：</w:t>
      </w:r>
      <w:r>
        <w:rPr>
          <w:rFonts w:hint="eastAsia" w:ascii="宋体" w:hAnsi="宋体" w:cs="宋体"/>
          <w:color w:val="auto"/>
          <w:sz w:val="24"/>
          <w:highlight w:val="none"/>
          <w:u w:val="single"/>
        </w:rPr>
        <w:t>广州市南沙区住房和城乡建设局</w:t>
      </w:r>
      <w:bookmarkStart w:id="1" w:name="_GoBack"/>
      <w:bookmarkEnd w:id="1"/>
    </w:p>
    <w:p w14:paraId="44F8874F">
      <w:pPr>
        <w:spacing w:line="360" w:lineRule="auto"/>
        <w:ind w:firstLine="540" w:firstLineChars="22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监管电话：</w:t>
      </w:r>
      <w:r>
        <w:rPr>
          <w:rFonts w:hint="eastAsia" w:ascii="宋体" w:hAnsi="宋体" w:cs="宋体"/>
          <w:color w:val="auto"/>
          <w:sz w:val="24"/>
          <w:highlight w:val="none"/>
          <w:u w:val="single"/>
        </w:rPr>
        <w:t>020-39910647</w:t>
      </w:r>
    </w:p>
    <w:p w14:paraId="0F1D8FBF">
      <w:pPr>
        <w:spacing w:line="360" w:lineRule="auto"/>
        <w:ind w:firstLine="540" w:firstLineChars="225"/>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三、建设地点：</w:t>
      </w:r>
      <w:r>
        <w:rPr>
          <w:rFonts w:hint="eastAsia" w:ascii="宋体" w:hAnsi="宋体" w:eastAsia="宋体" w:cs="Times New Roman"/>
          <w:color w:val="auto"/>
          <w:sz w:val="24"/>
          <w:szCs w:val="24"/>
          <w:highlight w:val="none"/>
          <w:u w:val="single"/>
          <w:lang w:eastAsia="zh-CN"/>
        </w:rPr>
        <w:t>广州市南沙区</w:t>
      </w:r>
    </w:p>
    <w:p w14:paraId="44F6029C">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left"/>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四、项目概况</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u w:val="single"/>
          <w:lang w:eastAsia="zh-CN"/>
        </w:rPr>
        <w:t>南沙滨海大道工程位于南沙街、港湾街，规划道路等级为城市次干路，呈东西走向，西起明锦街，东接规划江南路，长约6.533km。本项目绿化景观工程范围为北起规划滨海大道，南至滨海堤顶路的景观绿化范围，景观绿化带宽度5~60米，包含公园、亭、台主题场景。</w:t>
      </w:r>
      <w:r>
        <w:rPr>
          <w:rFonts w:hint="eastAsia" w:ascii="宋体" w:hAnsi="宋体" w:eastAsia="宋体" w:cs="Times New Roman"/>
          <w:color w:val="auto"/>
          <w:sz w:val="24"/>
          <w:szCs w:val="24"/>
          <w:highlight w:val="none"/>
          <w:u w:val="single"/>
          <w:lang w:val="en-US" w:eastAsia="zh-CN"/>
        </w:rPr>
        <w:t>建设</w:t>
      </w:r>
      <w:r>
        <w:rPr>
          <w:rFonts w:hint="eastAsia" w:ascii="宋体" w:hAnsi="宋体" w:eastAsia="宋体" w:cs="Times New Roman"/>
          <w:color w:val="auto"/>
          <w:sz w:val="24"/>
          <w:szCs w:val="24"/>
          <w:highlight w:val="none"/>
          <w:u w:val="single"/>
          <w:lang w:eastAsia="zh-CN"/>
        </w:rPr>
        <w:t>内容包含园建工程、绿化工程、给排水工程、电气工程等</w:t>
      </w:r>
      <w:r>
        <w:rPr>
          <w:rFonts w:hint="eastAsia" w:ascii="宋体" w:hAnsi="宋体" w:cs="宋体"/>
          <w:color w:val="auto"/>
          <w:sz w:val="24"/>
          <w:highlight w:val="none"/>
          <w:u w:val="single"/>
          <w:lang w:eastAsia="zh-CN"/>
        </w:rPr>
        <w:t>。</w:t>
      </w:r>
      <w:r>
        <w:rPr>
          <w:rFonts w:hint="eastAsia" w:ascii="宋体" w:hAnsi="宋体"/>
          <w:color w:val="auto"/>
          <w:sz w:val="24"/>
          <w:highlight w:val="none"/>
          <w:u w:val="single"/>
        </w:rPr>
        <w:t>（具体数据以政府批复概算、施工图纸和招标人委托等内容为准）</w:t>
      </w:r>
    </w:p>
    <w:p w14:paraId="2B042819">
      <w:pPr>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五、标段划分及各标段招标内容、规模和最高投标限价：</w:t>
      </w:r>
    </w:p>
    <w:p w14:paraId="42E43926">
      <w:pPr>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1.本工程划分为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个标段。</w:t>
      </w:r>
    </w:p>
    <w:p w14:paraId="34011D9E">
      <w:pPr>
        <w:spacing w:line="360" w:lineRule="auto"/>
        <w:ind w:firstLine="540" w:firstLineChars="225"/>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2.各标段招标内容、规模和最高投标限价：</w:t>
      </w:r>
    </w:p>
    <w:p w14:paraId="042A873F">
      <w:pPr>
        <w:spacing w:line="560" w:lineRule="exact"/>
        <w:ind w:firstLine="566" w:firstLineChars="236"/>
        <w:rPr>
          <w:rFonts w:hint="eastAsia" w:ascii="宋体" w:hAnsi="宋体" w:eastAsia="宋体" w:cs="Times New Roman"/>
          <w:color w:val="auto"/>
          <w:sz w:val="24"/>
          <w:szCs w:val="24"/>
          <w:highlight w:val="none"/>
          <w:u w:val="none"/>
          <w:lang w:eastAsia="zh-CN"/>
        </w:rPr>
      </w:pPr>
      <w:r>
        <w:rPr>
          <w:rFonts w:hint="eastAsia" w:ascii="宋体" w:hAnsi="宋体" w:eastAsia="宋体" w:cs="Times New Roman"/>
          <w:color w:val="auto"/>
          <w:sz w:val="24"/>
          <w:szCs w:val="24"/>
          <w:highlight w:val="none"/>
          <w:u w:val="none"/>
          <w:lang w:val="en-US" w:eastAsia="zh-CN"/>
        </w:rPr>
        <w:t>2.1</w:t>
      </w:r>
      <w:r>
        <w:rPr>
          <w:rFonts w:hint="eastAsia" w:ascii="宋体" w:hAnsi="宋体" w:eastAsia="宋体" w:cs="Times New Roman"/>
          <w:color w:val="auto"/>
          <w:sz w:val="24"/>
          <w:szCs w:val="24"/>
          <w:highlight w:val="none"/>
          <w:u w:val="none"/>
        </w:rPr>
        <w:t>招标内容、规模</w:t>
      </w:r>
      <w:r>
        <w:rPr>
          <w:rFonts w:hint="eastAsia" w:ascii="宋体" w:hAnsi="宋体" w:eastAsia="宋体" w:cs="Times New Roman"/>
          <w:color w:val="auto"/>
          <w:sz w:val="24"/>
          <w:szCs w:val="24"/>
          <w:highlight w:val="none"/>
          <w:u w:val="none"/>
          <w:lang w:eastAsia="zh-CN"/>
        </w:rPr>
        <w:t>包括但不限于：</w:t>
      </w:r>
    </w:p>
    <w:p w14:paraId="5689131B">
      <w:pPr>
        <w:numPr>
          <w:ilvl w:val="0"/>
          <w:numId w:val="1"/>
        </w:numPr>
        <w:spacing w:line="560" w:lineRule="exact"/>
        <w:ind w:firstLine="566" w:firstLineChars="236"/>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本次招标范围</w:t>
      </w:r>
      <w:r>
        <w:rPr>
          <w:rFonts w:hint="eastAsia" w:ascii="宋体" w:hAnsi="宋体" w:eastAsia="宋体" w:cs="Times New Roman"/>
          <w:color w:val="auto"/>
          <w:sz w:val="24"/>
          <w:szCs w:val="24"/>
          <w:highlight w:val="none"/>
          <w:u w:val="single"/>
          <w:lang w:eastAsia="zh-CN"/>
        </w:rPr>
        <w:t>为南沙滨海大道工程绿化工程的施工</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u w:val="single"/>
          <w:lang w:eastAsia="zh-CN"/>
        </w:rPr>
        <w:t>包工、包料、包施工措施（含场地准备及临时设施费）、包质量、包安全生产、包文明施工、包工期、包施工承包管理和现场整体组织、包专业协调及配合、包施工图深化设计（如有）、包竣工图、包验收通过（含附属工程）、包照管、包移交、包资料整理移交档案、包竣工备案、包结算、包保修等</w:t>
      </w:r>
      <w:r>
        <w:rPr>
          <w:rFonts w:hint="eastAsia" w:ascii="宋体" w:hAnsi="宋体" w:cs="宋体"/>
          <w:color w:val="000000"/>
          <w:sz w:val="24"/>
          <w:szCs w:val="24"/>
          <w:highlight w:val="none"/>
          <w:u w:val="single"/>
        </w:rPr>
        <w:t>）。</w:t>
      </w:r>
      <w:r>
        <w:rPr>
          <w:rFonts w:hint="eastAsia" w:ascii="宋体" w:hAnsi="宋体" w:eastAsia="宋体" w:cs="Times New Roman"/>
          <w:color w:val="auto"/>
          <w:sz w:val="24"/>
          <w:szCs w:val="24"/>
          <w:highlight w:val="none"/>
          <w:u w:val="single"/>
          <w:lang w:val="en-US" w:eastAsia="zh-CN"/>
        </w:rPr>
        <w:t>具体以施工图纸及工程量清单为准。</w:t>
      </w:r>
    </w:p>
    <w:p w14:paraId="7B340960">
      <w:pPr>
        <w:numPr>
          <w:ilvl w:val="-1"/>
          <w:numId w:val="0"/>
        </w:numPr>
        <w:spacing w:line="560" w:lineRule="exact"/>
        <w:ind w:firstLine="480" w:firstLineChars="200"/>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u w:val="single"/>
          <w:lang w:val="en-US" w:eastAsia="zh-CN"/>
        </w:rPr>
        <w:t>（2）</w:t>
      </w:r>
      <w:r>
        <w:rPr>
          <w:rFonts w:hint="eastAsia" w:ascii="宋体" w:hAnsi="宋体" w:cs="宋体"/>
          <w:color w:val="000000"/>
          <w:sz w:val="24"/>
          <w:szCs w:val="24"/>
          <w:highlight w:val="none"/>
          <w:u w:val="single"/>
        </w:rPr>
        <w:t>承包人派出专人协助发包人开展项目的报批报建工作，配合征地拆迁工作，内容包括但不限于：施工许可证、夜间施工许可证等。凡工程中涉及到规划、消防、环保、卫生防疫、质量安全、节能、水利、航道、海事、交通等有关部门验收及检查的项目，及时做好验收准备工作、参与验收、落实整改工作。竣工验收前，向发包人提交竣工验收申请报告，验收通过后，办理竣工备案等。</w:t>
      </w:r>
    </w:p>
    <w:p w14:paraId="10A40DD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u w:val="single"/>
        </w:rPr>
      </w:pPr>
      <w:r>
        <w:rPr>
          <w:rFonts w:hint="eastAsia" w:ascii="宋体" w:hAnsi="宋体" w:eastAsia="宋体" w:cs="Times New Roman"/>
          <w:color w:val="auto"/>
          <w:sz w:val="24"/>
          <w:szCs w:val="24"/>
          <w:highlight w:val="none"/>
          <w:u w:val="single"/>
          <w:lang w:val="en-US" w:eastAsia="zh-CN"/>
        </w:rPr>
        <w:t>2.2</w:t>
      </w:r>
      <w:r>
        <w:rPr>
          <w:rFonts w:hint="eastAsia" w:ascii="宋体" w:hAnsi="宋体" w:eastAsia="宋体" w:cs="Times New Roman"/>
          <w:color w:val="auto"/>
          <w:sz w:val="24"/>
          <w:szCs w:val="24"/>
          <w:highlight w:val="none"/>
          <w:u w:val="single"/>
        </w:rPr>
        <w:t>最高投标限价</w:t>
      </w:r>
      <w:r>
        <w:rPr>
          <w:rFonts w:hint="eastAsia" w:ascii="宋体" w:hAnsi="宋体" w:eastAsia="宋体" w:cs="Times New Roman"/>
          <w:color w:val="auto"/>
          <w:sz w:val="24"/>
          <w:szCs w:val="24"/>
          <w:highlight w:val="none"/>
          <w:u w:val="single"/>
          <w:lang w:val="en-US" w:eastAsia="zh-CN"/>
        </w:rPr>
        <w:t>54495734.37</w:t>
      </w:r>
      <w:r>
        <w:rPr>
          <w:rFonts w:hint="eastAsia" w:ascii="宋体" w:hAnsi="宋体" w:eastAsia="宋体"/>
          <w:color w:val="auto"/>
          <w:sz w:val="24"/>
          <w:szCs w:val="24"/>
          <w:highlight w:val="none"/>
          <w:u w:val="single"/>
        </w:rPr>
        <w:t>元。</w:t>
      </w:r>
    </w:p>
    <w:p w14:paraId="085498EC">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2.3成本警示价：48797582.39元。</w:t>
      </w:r>
    </w:p>
    <w:p w14:paraId="3716DC6A">
      <w:pPr>
        <w:spacing w:line="360" w:lineRule="auto"/>
        <w:ind w:firstLine="480" w:firstLineChars="200"/>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六、资金来源：</w:t>
      </w:r>
      <w:bookmarkStart w:id="0" w:name="OLE_LINK16"/>
      <w:r>
        <w:rPr>
          <w:rFonts w:hint="eastAsia" w:ascii="宋体" w:hAnsi="宋体" w:eastAsia="宋体" w:cs="Times New Roman"/>
          <w:color w:val="auto"/>
          <w:sz w:val="24"/>
          <w:szCs w:val="24"/>
          <w:highlight w:val="none"/>
          <w:u w:val="single"/>
        </w:rPr>
        <w:t>财政资金</w:t>
      </w:r>
      <w:bookmarkEnd w:id="0"/>
    </w:p>
    <w:p w14:paraId="49A3637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七、发布招标公告时间：</w:t>
      </w:r>
      <w:r>
        <w:rPr>
          <w:rFonts w:hint="eastAsia" w:ascii="宋体" w:hAnsi="宋体" w:eastAsia="宋体" w:cs="Times New Roman"/>
          <w:color w:val="auto"/>
          <w:sz w:val="24"/>
          <w:szCs w:val="24"/>
          <w:highlight w:val="none"/>
          <w:u w:val="single"/>
          <w:lang w:val="en-US" w:eastAsia="zh-CN"/>
        </w:rPr>
        <w:t xml:space="preserve">20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日至</w:t>
      </w:r>
      <w:r>
        <w:rPr>
          <w:rFonts w:hint="eastAsia" w:ascii="宋体" w:hAnsi="宋体" w:eastAsia="宋体" w:cs="Times New Roman"/>
          <w:color w:val="auto"/>
          <w:sz w:val="24"/>
          <w:szCs w:val="24"/>
          <w:highlight w:val="none"/>
          <w:u w:val="single"/>
          <w:lang w:val="en-US" w:eastAsia="zh-CN"/>
        </w:rPr>
        <w:t xml:space="preserve">20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时</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分。</w:t>
      </w:r>
    </w:p>
    <w:p w14:paraId="7BAFA9A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注：发布招标公告时间为招标公告发出之日起至递交投标文件截止时间止。</w:t>
      </w:r>
    </w:p>
    <w:p w14:paraId="4E08EA7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八、递交投标文件时间与开标时间</w:t>
      </w:r>
    </w:p>
    <w:p w14:paraId="14B1678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1.递交投标文件截止时间：</w:t>
      </w:r>
      <w:r>
        <w:rPr>
          <w:rFonts w:hint="eastAsia" w:ascii="宋体" w:hAnsi="宋体" w:eastAsia="宋体" w:cs="Times New Roman"/>
          <w:color w:val="auto"/>
          <w:sz w:val="24"/>
          <w:szCs w:val="24"/>
          <w:highlight w:val="none"/>
          <w:u w:val="single"/>
          <w:lang w:val="en-US" w:eastAsia="zh-CN"/>
        </w:rPr>
        <w:t xml:space="preserve">20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时</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分。</w:t>
      </w:r>
    </w:p>
    <w:p w14:paraId="6CD4881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2.开标时间：</w:t>
      </w:r>
      <w:r>
        <w:rPr>
          <w:rFonts w:hint="eastAsia" w:ascii="宋体" w:hAnsi="宋体" w:eastAsia="宋体" w:cs="Times New Roman"/>
          <w:color w:val="auto"/>
          <w:sz w:val="24"/>
          <w:szCs w:val="24"/>
          <w:highlight w:val="none"/>
          <w:u w:val="single"/>
          <w:lang w:val="en-US" w:eastAsia="zh-CN"/>
        </w:rPr>
        <w:t xml:space="preserve">20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时</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分（递交投标文件截止时间与开标时间应为同一时间）。</w:t>
      </w:r>
    </w:p>
    <w:p w14:paraId="551639F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14:paraId="45A4261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九、办理投标登记手续</w:t>
      </w:r>
    </w:p>
    <w:p w14:paraId="43DCFD0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仿宋_GB2312"/>
          <w:color w:val="auto"/>
          <w:sz w:val="24"/>
          <w:szCs w:val="24"/>
          <w:highlight w:val="none"/>
        </w:rPr>
        <w:t>网站办理网上投标登记手续。</w:t>
      </w:r>
    </w:p>
    <w:p w14:paraId="27918B8D">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14:paraId="56B7D9E1">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仿宋_GB2312"/>
          <w:color w:val="auto"/>
          <w:sz w:val="24"/>
          <w:szCs w:val="24"/>
          <w:highlight w:val="none"/>
        </w:rPr>
        <w:t>网站投标人服务专区完成投标人的相关信息录入。</w:t>
      </w:r>
    </w:p>
    <w:p w14:paraId="5568914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的电子评标系统。如果投标文件于递交投标文件截止时间未能上传完毕，该投标文件将视为无效投标文件。</w:t>
      </w:r>
    </w:p>
    <w:p w14:paraId="426A42AA">
      <w:pPr>
        <w:tabs>
          <w:tab w:val="left" w:pos="1080"/>
        </w:tabs>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2.投标保证金：</w:t>
      </w:r>
    </w:p>
    <w:p w14:paraId="49F8CD3D">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本项目不要求投标人递交投标保证金。</w:t>
      </w:r>
    </w:p>
    <w:p w14:paraId="07B0C32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十、资格审查方式：</w:t>
      </w:r>
    </w:p>
    <w:p w14:paraId="382E021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本工程采用资格后审方式，实行电子化资格审查。</w:t>
      </w:r>
    </w:p>
    <w:p w14:paraId="5E4D848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十一、投标人资格条件：</w:t>
      </w:r>
    </w:p>
    <w:p w14:paraId="2394667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1.投标文件中有法定代表人证明书，如投标文件为委托代理人签署应同时附上法定代表人证明书和法定代表人授权书。</w:t>
      </w:r>
    </w:p>
    <w:p w14:paraId="2D8D300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s="宋体"/>
          <w:color w:val="000000"/>
          <w:sz w:val="24"/>
          <w:szCs w:val="24"/>
          <w:highlight w:val="none"/>
          <w:u w:val="single"/>
        </w:rPr>
        <w:t>投标人须是在中华人民共和国境内注册的独立法人或其他组织，持有事业单位登记管理部门核发的事业单位法人证书或工商行政管理部门（或市场监督部门）核发的营业执照。</w:t>
      </w:r>
    </w:p>
    <w:p w14:paraId="1CA22173">
      <w:pP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kern w:val="0"/>
          <w:sz w:val="24"/>
          <w:szCs w:val="24"/>
          <w:highlight w:val="none"/>
        </w:rPr>
        <w:t>投标人拟担任本工程</w:t>
      </w:r>
      <w:r>
        <w:rPr>
          <w:rFonts w:hint="eastAsia" w:ascii="宋体" w:hAnsi="宋体" w:eastAsia="宋体" w:cs="Times New Roman"/>
          <w:color w:val="auto"/>
          <w:sz w:val="24"/>
          <w:szCs w:val="24"/>
          <w:highlight w:val="none"/>
        </w:rPr>
        <w:t>项目负责人的人员为：</w:t>
      </w:r>
      <w:r>
        <w:rPr>
          <w:rFonts w:hint="eastAsia" w:ascii="宋体" w:hAnsi="宋体" w:eastAsia="宋体"/>
          <w:color w:val="auto"/>
          <w:sz w:val="24"/>
          <w:szCs w:val="24"/>
          <w:highlight w:val="none"/>
          <w:u w:val="single"/>
        </w:rPr>
        <w:t>市政公用</w:t>
      </w:r>
      <w:r>
        <w:rPr>
          <w:rFonts w:hint="eastAsia" w:ascii="宋体" w:hAnsi="宋体" w:eastAsia="宋体"/>
          <w:color w:val="auto"/>
          <w:sz w:val="24"/>
          <w:szCs w:val="24"/>
          <w:highlight w:val="none"/>
          <w:u w:val="single"/>
          <w:lang w:val="en-US" w:eastAsia="zh-CN"/>
        </w:rPr>
        <w:t>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lang w:val="en-US" w:eastAsia="zh-CN"/>
        </w:rPr>
        <w:t>一</w:t>
      </w:r>
      <w:r>
        <w:rPr>
          <w:rFonts w:hint="eastAsia" w:ascii="宋体" w:hAnsi="宋体" w:eastAsia="宋体"/>
          <w:color w:val="auto"/>
          <w:sz w:val="24"/>
          <w:szCs w:val="24"/>
          <w:highlight w:val="none"/>
        </w:rPr>
        <w:t>级的注册建造师</w:t>
      </w:r>
      <w:r>
        <w:rPr>
          <w:rFonts w:hint="eastAsia" w:ascii="宋体" w:hAnsi="宋体" w:eastAsia="宋体"/>
          <w:color w:val="auto"/>
          <w:sz w:val="24"/>
          <w:szCs w:val="24"/>
          <w:highlight w:val="none"/>
          <w:lang w:eastAsia="zh-CN"/>
        </w:rPr>
        <w:t>。</w:t>
      </w:r>
      <w:r>
        <w:rPr>
          <w:rFonts w:hint="eastAsia" w:ascii="宋体" w:hAnsi="宋体" w:eastAsia="宋体"/>
          <w:color w:val="auto"/>
          <w:kern w:val="0"/>
          <w:sz w:val="24"/>
          <w:szCs w:val="24"/>
          <w:highlight w:val="none"/>
        </w:rPr>
        <w:t>项目负责人持有安全培训考核合格证（B类）或建筑施工企业项目负责人安全生产考核合格证书。</w:t>
      </w:r>
    </w:p>
    <w:p w14:paraId="3076FA72">
      <w:pPr>
        <w:numPr>
          <w:ilvl w:val="-1"/>
          <w:numId w:val="0"/>
        </w:numPr>
        <w:spacing w:line="360" w:lineRule="auto"/>
        <w:ind w:firstLine="480" w:firstLineChars="200"/>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注：建造师的专业及项目等级标准按《注册建造师执业管理办法（试行）》及《注册建造师执业工程规模标准（试行）》执行。</w:t>
      </w:r>
    </w:p>
    <w:p w14:paraId="3EC55D4E">
      <w:pPr>
        <w:numPr>
          <w:ilvl w:val="-1"/>
          <w:numId w:val="0"/>
        </w:numPr>
        <w:spacing w:line="360" w:lineRule="auto"/>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lang w:val="en-US" w:eastAsia="zh-CN"/>
        </w:rPr>
        <w:t>自2023年1月1日</w:t>
      </w:r>
      <w:r>
        <w:rPr>
          <w:rFonts w:hint="eastAsia" w:ascii="宋体" w:hAnsi="宋体" w:eastAsia="宋体"/>
          <w:color w:val="auto"/>
          <w:sz w:val="24"/>
          <w:szCs w:val="24"/>
          <w:highlight w:val="none"/>
        </w:rPr>
        <w:t>至今完成过质量合格的类似园林绿化工程业绩，类似工程是指</w:t>
      </w:r>
      <w:r>
        <w:rPr>
          <w:rFonts w:hint="eastAsia" w:ascii="宋体" w:hAnsi="宋体" w:eastAsia="宋体"/>
          <w:color w:val="auto"/>
          <w:sz w:val="24"/>
          <w:szCs w:val="24"/>
          <w:highlight w:val="none"/>
          <w:lang w:val="en-US" w:eastAsia="zh-CN"/>
        </w:rPr>
        <w:t>建安费2000万元或以上</w:t>
      </w:r>
      <w:r>
        <w:rPr>
          <w:rFonts w:hint="eastAsia" w:ascii="宋体" w:hAnsi="宋体" w:eastAsia="宋体"/>
          <w:color w:val="auto"/>
          <w:sz w:val="24"/>
          <w:szCs w:val="24"/>
          <w:highlight w:val="none"/>
        </w:rPr>
        <w:t>的园林绿化工程。</w:t>
      </w:r>
    </w:p>
    <w:p w14:paraId="2A5295D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ascii="宋体" w:hAnsi="宋体" w:eastAsia="宋体"/>
          <w:color w:val="auto"/>
          <w:sz w:val="24"/>
          <w:szCs w:val="24"/>
          <w:highlight w:val="none"/>
        </w:rPr>
        <w:t>（1）业绩取自广州公共资源交易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w:t>
      </w:r>
      <w:r>
        <w:rPr>
          <w:rFonts w:ascii="宋体" w:hAnsi="宋体" w:eastAsia="宋体"/>
          <w:color w:val="auto"/>
          <w:sz w:val="24"/>
          <w:szCs w:val="24"/>
          <w:highlight w:val="none"/>
        </w:rPr>
        <w:t>企业</w:t>
      </w:r>
      <w:r>
        <w:rPr>
          <w:rFonts w:hint="eastAsia" w:ascii="宋体" w:hAnsi="宋体" w:eastAsia="宋体"/>
          <w:color w:val="auto"/>
          <w:sz w:val="24"/>
          <w:szCs w:val="24"/>
          <w:highlight w:val="none"/>
        </w:rPr>
        <w:t>工程业绩</w:t>
      </w:r>
      <w:r>
        <w:rPr>
          <w:rFonts w:ascii="宋体" w:hAnsi="宋体" w:eastAsia="宋体"/>
          <w:color w:val="auto"/>
          <w:sz w:val="24"/>
          <w:szCs w:val="24"/>
          <w:highlight w:val="none"/>
        </w:rPr>
        <w:t>库。</w:t>
      </w:r>
    </w:p>
    <w:p w14:paraId="7BE2797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）业绩需同时提供中标通知书</w:t>
      </w:r>
      <w:r>
        <w:rPr>
          <w:rFonts w:hint="eastAsia" w:ascii="宋体" w:hAnsi="宋体" w:eastAsia="宋体"/>
          <w:color w:val="auto"/>
          <w:sz w:val="24"/>
          <w:szCs w:val="24"/>
          <w:highlight w:val="none"/>
          <w:lang w:val="en-US" w:eastAsia="zh-CN"/>
        </w:rPr>
        <w:t>或免招标相关证明</w:t>
      </w:r>
      <w:r>
        <w:rPr>
          <w:rFonts w:hint="eastAsia" w:ascii="宋体" w:hAnsi="宋体" w:eastAsia="宋体"/>
          <w:color w:val="auto"/>
          <w:sz w:val="24"/>
          <w:szCs w:val="24"/>
          <w:highlight w:val="none"/>
        </w:rPr>
        <w:t>、施工合同、竣工验收报告或竣工验收证明。如以上资料不能证明业绩规模的技术指标（指面积、跨度等）的，须另提供可证明业绩技术指标的其他资料。</w:t>
      </w:r>
    </w:p>
    <w:p w14:paraId="3466B3E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）业绩金额以中标通知书为准，中标通知书上没有金额</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免招标的，以施工合同（不含补充合同）为准，完成时间以竣工验收时间为准。</w:t>
      </w:r>
    </w:p>
    <w:p w14:paraId="14E07588">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）由总承包单位依法分包的园林绿化工程业绩，需提供经业主和总承包单位确认的分包合同、竣工验收报告或竣工验收证明。</w:t>
      </w:r>
    </w:p>
    <w:p w14:paraId="317A4471">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（5）联合体业绩的则按中标通知书金额乘以联合体双方盖章确认的协议书比例为准或以合同（不含补充合同）的金额为准。</w:t>
      </w:r>
    </w:p>
    <w:p w14:paraId="4E0A35C2">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.专职安全员须具有安全生产考核合格证（C类）或建筑施工企业专职安全生产管理人员安全生产考核合格证书（C3）。</w:t>
      </w:r>
    </w:p>
    <w:p w14:paraId="773C6DD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.投标人按照规定的格式及内容要求签署了《投标人声明》。</w:t>
      </w:r>
    </w:p>
    <w:p w14:paraId="5D58EDD4">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.关于联合体投标</w:t>
      </w:r>
      <w:r>
        <w:rPr>
          <w:rFonts w:hint="eastAsia" w:ascii="宋体" w:hAnsi="宋体" w:eastAsia="宋体" w:cs="Times New Roman"/>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
        </w:rPr>
        <w:t>本项目不接受联合体投标。</w:t>
      </w:r>
    </w:p>
    <w:p w14:paraId="2CD44225">
      <w:pPr>
        <w:spacing w:line="360" w:lineRule="auto"/>
        <w:ind w:firstLine="480" w:firstLineChars="200"/>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r>
        <w:rPr>
          <w:rFonts w:hint="eastAsia" w:ascii="宋体" w:hAnsi="宋体" w:eastAsia="宋体" w:cs="Times New Roman"/>
          <w:color w:val="auto"/>
          <w:kern w:val="0"/>
          <w:sz w:val="24"/>
          <w:szCs w:val="24"/>
          <w:highlight w:val="none"/>
        </w:rPr>
        <w:t>.投标人信用情况</w:t>
      </w:r>
    </w:p>
    <w:p w14:paraId="17351445">
      <w:pPr>
        <w:spacing w:line="360" w:lineRule="auto"/>
        <w:ind w:firstLine="480" w:firstLineChars="200"/>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eastAsia="zh-CN"/>
        </w:rPr>
        <w:t>（1）不存在《全国失信惩戒措施基础清单》惩戒内容为“在一定期限内依法取消参加依法必须进行招标的项目的投标资格”的情形</w:t>
      </w:r>
      <w:r>
        <w:rPr>
          <w:rFonts w:hint="eastAsia" w:ascii="宋体" w:hAnsi="宋体" w:eastAsia="宋体" w:cs="宋体"/>
          <w:color w:val="000000"/>
          <w:kern w:val="0"/>
          <w:sz w:val="24"/>
          <w:szCs w:val="24"/>
          <w:highlight w:val="none"/>
          <w:u w:val="single"/>
          <w:lang w:eastAsia="zh-CN"/>
        </w:rPr>
        <w:t>（以《投标人声明》进行评审）</w:t>
      </w:r>
      <w:r>
        <w:rPr>
          <w:rFonts w:hint="eastAsia" w:ascii="宋体" w:hAnsi="宋体" w:eastAsia="宋体" w:cs="Times New Roman"/>
          <w:color w:val="auto"/>
          <w:kern w:val="0"/>
          <w:sz w:val="24"/>
          <w:szCs w:val="24"/>
          <w:highlight w:val="none"/>
          <w:lang w:eastAsia="zh-CN"/>
        </w:rPr>
        <w:t>。</w:t>
      </w:r>
    </w:p>
    <w:p w14:paraId="67E4A79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u w:val="single"/>
        </w:rPr>
      </w:pPr>
      <w:r>
        <w:rPr>
          <w:rFonts w:hint="eastAsia" w:ascii="宋体" w:hAnsi="宋体" w:eastAsia="宋体"/>
          <w:strike w:val="0"/>
          <w:color w:val="auto"/>
          <w:kern w:val="0"/>
          <w:sz w:val="24"/>
          <w:szCs w:val="24"/>
          <w:highlight w:val="none"/>
          <w:lang w:eastAsia="zh-CN"/>
        </w:rPr>
        <w:t>（2）未在以往工程中因不诚信行为或不充分履约行为被本项目招标人书面拒绝投标的。</w:t>
      </w:r>
      <w:r>
        <w:rPr>
          <w:rFonts w:hint="eastAsia" w:ascii="宋体" w:hAnsi="宋体" w:eastAsia="宋体" w:cs="宋体"/>
          <w:color w:val="auto"/>
          <w:kern w:val="2"/>
          <w:sz w:val="24"/>
          <w:szCs w:val="24"/>
          <w:highlight w:val="none"/>
          <w:u w:val="single"/>
          <w:lang w:val="en-US" w:eastAsia="zh-CN" w:bidi="ar"/>
        </w:rPr>
        <w:t>（详见招标公告附件一《拒绝投标单位名单》）。</w:t>
      </w:r>
    </w:p>
    <w:p w14:paraId="75FE020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注：1.投标人须在广州公共资源交易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企业库办理企业信息登记，拟担任本工程项目负责人须是本企业信息登记中的在册人员。项目负责人和</w:t>
      </w:r>
      <w:r>
        <w:rPr>
          <w:rFonts w:hint="eastAsia" w:ascii="宋体" w:hAnsi="宋体" w:eastAsia="宋体" w:cs="Times New Roman"/>
          <w:color w:val="auto"/>
          <w:sz w:val="24"/>
          <w:szCs w:val="24"/>
          <w:highlight w:val="none"/>
          <w:lang w:eastAsia="zh-CN"/>
        </w:rPr>
        <w:t>专职</w:t>
      </w:r>
      <w:r>
        <w:rPr>
          <w:rFonts w:hint="eastAsia" w:ascii="宋体" w:hAnsi="宋体" w:eastAsia="宋体" w:cs="Times New Roman"/>
          <w:color w:val="auto"/>
          <w:sz w:val="24"/>
          <w:szCs w:val="24"/>
          <w:highlight w:val="none"/>
        </w:rPr>
        <w:t>安全员不为同一人。</w:t>
      </w:r>
    </w:p>
    <w:p w14:paraId="25450D8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2.投标人资格条件2-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项的信息取自投标人在广州公共资源交易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企业库</w:t>
      </w:r>
      <w:r>
        <w:rPr>
          <w:rFonts w:hint="eastAsia" w:ascii="宋体" w:hAnsi="宋体" w:eastAsia="宋体"/>
          <w:color w:val="000000"/>
          <w:sz w:val="24"/>
          <w:szCs w:val="24"/>
          <w:highlight w:val="none"/>
        </w:rPr>
        <w:t>、园林绿化企业工程业绩库</w:t>
      </w:r>
      <w:r>
        <w:rPr>
          <w:rFonts w:hint="eastAsia" w:ascii="宋体" w:hAnsi="宋体" w:eastAsia="宋体" w:cs="Times New Roman"/>
          <w:color w:val="auto"/>
          <w:sz w:val="24"/>
          <w:szCs w:val="24"/>
          <w:highlight w:val="none"/>
        </w:rPr>
        <w:t>登记的信息，广州公共资源交易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企业库</w:t>
      </w:r>
      <w:r>
        <w:rPr>
          <w:rFonts w:hint="eastAsia" w:ascii="宋体" w:hAnsi="宋体" w:eastAsia="宋体"/>
          <w:color w:val="000000"/>
          <w:sz w:val="24"/>
          <w:szCs w:val="24"/>
          <w:highlight w:val="none"/>
        </w:rPr>
        <w:t>、园林绿化企业工程业绩库</w:t>
      </w:r>
      <w:r>
        <w:rPr>
          <w:rFonts w:hint="eastAsia" w:ascii="宋体" w:hAnsi="宋体" w:eastAsia="宋体" w:cs="Times New Roman"/>
          <w:color w:val="auto"/>
          <w:sz w:val="24"/>
          <w:szCs w:val="24"/>
          <w:highlight w:val="none"/>
        </w:rPr>
        <w:t>中该部分信息将被视为</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递交资格审查资料的一部分。评标委员会对该部分资料的审查将以递交投标文件截止时，广州公共资源交易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企业库</w:t>
      </w:r>
      <w:r>
        <w:rPr>
          <w:rFonts w:hint="eastAsia" w:ascii="宋体" w:hAnsi="宋体" w:eastAsia="宋体"/>
          <w:color w:val="000000"/>
          <w:sz w:val="24"/>
          <w:szCs w:val="24"/>
          <w:highlight w:val="none"/>
        </w:rPr>
        <w:t>、园林绿化企业工程业绩库</w:t>
      </w:r>
      <w:r>
        <w:rPr>
          <w:rFonts w:hint="eastAsia" w:ascii="宋体" w:hAnsi="宋体" w:eastAsia="宋体" w:cs="Times New Roman"/>
          <w:color w:val="auto"/>
          <w:sz w:val="24"/>
          <w:szCs w:val="24"/>
          <w:highlight w:val="none"/>
        </w:rPr>
        <w:t>记录的信息为依据。投标人应及时维护其在广州公共资源交易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企业库</w:t>
      </w:r>
      <w:r>
        <w:rPr>
          <w:rFonts w:hint="eastAsia" w:ascii="宋体" w:hAnsi="宋体" w:eastAsia="宋体"/>
          <w:color w:val="000000"/>
          <w:sz w:val="24"/>
          <w:szCs w:val="24"/>
          <w:highlight w:val="none"/>
        </w:rPr>
        <w:t>、园林绿化企业工程业绩库</w:t>
      </w:r>
      <w:r>
        <w:rPr>
          <w:rFonts w:hint="eastAsia" w:ascii="宋体" w:hAnsi="宋体" w:eastAsia="宋体" w:cs="Times New Roman"/>
          <w:color w:val="auto"/>
          <w:sz w:val="24"/>
          <w:szCs w:val="24"/>
          <w:highlight w:val="none"/>
        </w:rPr>
        <w:t>的信息，确保各项信息在有效期内。</w:t>
      </w:r>
    </w:p>
    <w:p w14:paraId="59C269F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未在招标公告第十一条单列的资审合格条件，不作为资审不合格的依据。</w:t>
      </w:r>
    </w:p>
    <w:p w14:paraId="25EE2372">
      <w:pPr>
        <w:widowControl/>
        <w:snapToGri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14:paraId="6BCFF36C">
      <w:pPr>
        <w:widowControl/>
        <w:snapToGri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如招标人需发布补充公告的，以最后发布的补充公告的时间起计算编制投标文件时间，并需在招标答疑中明确说明。</w:t>
      </w:r>
    </w:p>
    <w:p w14:paraId="41E6209E">
      <w:pPr>
        <w:widowControl/>
        <w:snapToGri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十三、资格审查结果及评标结果将在</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Times New Roman"/>
          <w:color w:val="auto"/>
          <w:sz w:val="24"/>
          <w:szCs w:val="24"/>
          <w:highlight w:val="none"/>
        </w:rPr>
        <w:t>网站公示，公开接受投标人的监督。</w:t>
      </w:r>
    </w:p>
    <w:p w14:paraId="5D3BCA3C">
      <w:pPr>
        <w:tabs>
          <w:tab w:val="left" w:pos="360"/>
        </w:tabs>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十四、满足资格审查合格条件的投标人或通过否决性条款审查的投标人不足3名时为招标失败。招标人分析招标失败原因，修正招标方案，报有关管理部门核准后，重新组织招标。</w:t>
      </w:r>
    </w:p>
    <w:p w14:paraId="54D5D338">
      <w:pPr>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color w:val="auto"/>
          <w:sz w:val="24"/>
          <w:szCs w:val="24"/>
          <w:highlight w:val="none"/>
        </w:rPr>
        <w:t>十五、</w:t>
      </w:r>
      <w:r>
        <w:rPr>
          <w:rFonts w:hint="eastAsia" w:ascii="宋体" w:hAnsi="宋体" w:eastAsia="宋体" w:cs="Times New Roman"/>
          <w:bCs/>
          <w:color w:val="auto"/>
          <w:sz w:val="24"/>
          <w:highlight w:val="none"/>
        </w:rPr>
        <w:t>本工程根据中华人民共和国现行的《建设工程工程量清单计价规范》及省、市有关计价规范设置最高投标限价。</w:t>
      </w:r>
    </w:p>
    <w:p w14:paraId="3DD08D2E">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Times New Roman"/>
          <w:b w:val="0"/>
          <w:bCs w:val="0"/>
          <w:color w:val="auto"/>
          <w:sz w:val="24"/>
          <w:szCs w:val="24"/>
          <w:highlight w:val="none"/>
          <w:u w:val="none"/>
        </w:rPr>
        <w:t>十六、</w:t>
      </w:r>
      <w:r>
        <w:rPr>
          <w:rFonts w:hint="eastAsia" w:ascii="宋体" w:hAnsi="宋体" w:cs="仿宋_GB2312"/>
          <w:b w:val="0"/>
          <w:bCs w:val="0"/>
          <w:sz w:val="24"/>
          <w:highlight w:val="none"/>
          <w:u w:val="none"/>
        </w:rPr>
        <w:t>潜在投标人或利害关系人对本公告及招标文件内容有异议的，应当在投标截止时间10日前通过电子交易平台或书面形式向招标人提出。通过电子交易平台提出异议的，招标人线上作出答复。招标人应当自收到异议之日起3日内作出答复；作出答复前，应当暂停招标投标活动</w:t>
      </w:r>
      <w:r>
        <w:rPr>
          <w:rFonts w:hint="eastAsia" w:ascii="宋体" w:hAnsi="宋体" w:cs="宋体"/>
          <w:b w:val="0"/>
          <w:bCs w:val="0"/>
          <w:color w:val="000000"/>
          <w:sz w:val="24"/>
          <w:highlight w:val="none"/>
          <w:u w:val="none"/>
        </w:rPr>
        <w:t>。</w:t>
      </w:r>
    </w:p>
    <w:p w14:paraId="5FE1994F">
      <w:pPr>
        <w:spacing w:line="360" w:lineRule="auto"/>
        <w:ind w:firstLine="480" w:firstLineChars="200"/>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lang w:eastAsia="zh-CN"/>
        </w:rPr>
        <w:t>广州南沙经济技术开发区建设中心</w:t>
      </w:r>
    </w:p>
    <w:p w14:paraId="1252DE8C">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异议受理电话：</w:t>
      </w:r>
      <w:r>
        <w:rPr>
          <w:rFonts w:hint="eastAsia" w:ascii="宋体" w:hAnsi="宋体" w:cs="宋体"/>
          <w:color w:val="000000"/>
          <w:sz w:val="24"/>
          <w:highlight w:val="none"/>
          <w:u w:val="single"/>
        </w:rPr>
        <w:t>020-39910657</w:t>
      </w:r>
    </w:p>
    <w:p w14:paraId="7D97AFB1">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cs="宋体"/>
          <w:color w:val="000000"/>
          <w:sz w:val="24"/>
          <w:highlight w:val="none"/>
          <w:u w:val="single"/>
        </w:rPr>
        <w:t>广州市南沙区进港大道466号之二传媒大厦7楼</w:t>
      </w:r>
    </w:p>
    <w:p w14:paraId="4E13BF1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cs="宋体"/>
          <w:color w:val="auto"/>
          <w:sz w:val="24"/>
          <w:highlight w:val="none"/>
          <w:u w:val="single"/>
        </w:rPr>
        <w:t>广州市南沙区住房和城乡建设局</w:t>
      </w:r>
      <w:r>
        <w:rPr>
          <w:rFonts w:hint="eastAsia" w:ascii="宋体" w:hAnsi="宋体" w:eastAsia="宋体" w:cs="仿宋_GB2312"/>
          <w:color w:val="auto"/>
          <w:sz w:val="24"/>
          <w:szCs w:val="24"/>
          <w:highlight w:val="none"/>
        </w:rPr>
        <w:t>署名投诉</w:t>
      </w:r>
      <w:r>
        <w:rPr>
          <w:rFonts w:hint="eastAsia" w:ascii="宋体" w:hAnsi="宋体" w:eastAsia="宋体" w:cs="Times New Roman"/>
          <w:color w:val="auto"/>
          <w:sz w:val="24"/>
          <w:szCs w:val="24"/>
          <w:highlight w:val="none"/>
        </w:rPr>
        <w:t>。</w:t>
      </w:r>
    </w:p>
    <w:p w14:paraId="109BD4F3">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投诉受理电话：</w:t>
      </w:r>
      <w:r>
        <w:rPr>
          <w:rFonts w:hint="eastAsia" w:ascii="宋体" w:hAnsi="宋体" w:cs="宋体"/>
          <w:color w:val="auto"/>
          <w:sz w:val="24"/>
          <w:highlight w:val="none"/>
          <w:u w:val="single"/>
        </w:rPr>
        <w:t>020-39910647</w:t>
      </w:r>
    </w:p>
    <w:p w14:paraId="1B64D7A6">
      <w:pPr>
        <w:spacing w:line="360" w:lineRule="auto"/>
        <w:ind w:firstLine="480" w:firstLineChars="200"/>
        <w:rPr>
          <w:rFonts w:hint="eastAsia"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color w:val="auto"/>
          <w:sz w:val="24"/>
          <w:highlight w:val="none"/>
          <w:u w:val="single"/>
        </w:rPr>
        <w:t>广州南沙开发区凤凰大道1号E栋3楼</w:t>
      </w:r>
    </w:p>
    <w:p w14:paraId="04166BA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十七、本公告在广州交易集团有限公司（广州公共资源交易中心）网站（网址：https://ywtb.gzggzy.cn/）、中国招标投标公共服务平台（网址：</w:t>
      </w:r>
      <w:r>
        <w:rPr>
          <w:rFonts w:ascii="宋体" w:hAnsi="宋体" w:eastAsia="宋体" w:cs="Times New Roman"/>
          <w:color w:val="auto"/>
          <w:sz w:val="24"/>
          <w:szCs w:val="24"/>
          <w:highlight w:val="none"/>
        </w:rPr>
        <w:t>http://www.cebpubservice.com/</w:t>
      </w:r>
      <w:r>
        <w:rPr>
          <w:rFonts w:hint="eastAsia" w:ascii="宋体" w:hAnsi="宋体" w:eastAsia="宋体" w:cs="Times New Roman"/>
          <w:color w:val="auto"/>
          <w:sz w:val="24"/>
          <w:szCs w:val="24"/>
          <w:highlight w:val="none"/>
        </w:rPr>
        <w:t>）和广东省招标投标监管网（网址：http://zbtb.gd.gov.cn/）同时发布，本公告的修改、补充，在</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Times New Roman"/>
          <w:color w:val="auto"/>
          <w:sz w:val="24"/>
          <w:szCs w:val="24"/>
          <w:highlight w:val="none"/>
        </w:rPr>
        <w:t>网</w:t>
      </w:r>
      <w:r>
        <w:rPr>
          <w:rFonts w:hint="eastAsia" w:ascii="宋体" w:hAnsi="宋体" w:eastAsia="宋体" w:cs="Times New Roman"/>
          <w:color w:val="auto"/>
          <w:sz w:val="24"/>
          <w:szCs w:val="24"/>
          <w:highlight w:val="none"/>
          <w:lang w:val="en-US" w:eastAsia="zh-CN"/>
        </w:rPr>
        <w:t>站</w:t>
      </w:r>
      <w:r>
        <w:rPr>
          <w:rFonts w:hint="eastAsia" w:ascii="宋体" w:hAnsi="宋体" w:eastAsia="宋体" w:cs="Times New Roman"/>
          <w:color w:val="auto"/>
          <w:sz w:val="24"/>
          <w:szCs w:val="24"/>
          <w:highlight w:val="none"/>
        </w:rPr>
        <w:t>发布。本公告在各法定媒体发布的文本应当一致，如有不同之处，以在</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Times New Roman"/>
          <w:color w:val="auto"/>
          <w:sz w:val="24"/>
          <w:szCs w:val="24"/>
          <w:highlight w:val="none"/>
        </w:rPr>
        <w:t>网站发布的文本为准。</w:t>
      </w:r>
    </w:p>
    <w:p w14:paraId="2F251FF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十八、本公告及招标文件使用GZYLZB202</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14:paraId="322D2DF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w:t>
      </w:r>
      <w:r>
        <w:rPr>
          <w:rFonts w:hint="eastAsia" w:ascii="宋体" w:hAnsi="宋体" w:eastAsia="宋体" w:cs="Times New Roman"/>
          <w:color w:val="auto"/>
          <w:sz w:val="24"/>
          <w:szCs w:val="24"/>
          <w:highlight w:val="none"/>
          <w:lang w:eastAsia="zh-CN"/>
        </w:rPr>
        <w:t>平台</w:t>
      </w:r>
      <w:r>
        <w:rPr>
          <w:rFonts w:hint="eastAsia" w:ascii="宋体" w:hAnsi="宋体" w:eastAsia="宋体" w:cs="Times New Roman"/>
          <w:color w:val="auto"/>
          <w:sz w:val="24"/>
          <w:szCs w:val="24"/>
          <w:highlight w:val="none"/>
        </w:rPr>
        <w:t>设立的办理点办理电子签名认证证书和电子签章。（已经办理过电子签名证书的可携带电子签名证书到上述办理点增加电子签章。）</w:t>
      </w:r>
    </w:p>
    <w:p w14:paraId="315A17C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电子投标文件的编制须使用</w:t>
      </w:r>
      <w:r>
        <w:rPr>
          <w:rFonts w:hint="eastAsia" w:ascii="宋体" w:hAnsi="宋体" w:eastAsia="宋体" w:cs="Times New Roman"/>
          <w:color w:val="auto"/>
          <w:sz w:val="24"/>
          <w:szCs w:val="24"/>
          <w:highlight w:val="none"/>
          <w:u w:val="single"/>
        </w:rPr>
        <w:t>最新</w:t>
      </w:r>
      <w:r>
        <w:rPr>
          <w:rFonts w:hint="eastAsia" w:ascii="宋体" w:hAnsi="宋体" w:eastAsia="宋体" w:cs="Times New Roman"/>
          <w:color w:val="auto"/>
          <w:sz w:val="24"/>
          <w:szCs w:val="24"/>
          <w:highlight w:val="none"/>
        </w:rPr>
        <w:t>版本的投标文件管理软件。</w:t>
      </w:r>
    </w:p>
    <w:p w14:paraId="6582B8F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二十、投标人在</w:t>
      </w:r>
      <w:r>
        <w:rPr>
          <w:rFonts w:hint="eastAsia" w:ascii="宋体" w:hAnsi="宋体" w:eastAsia="宋体" w:cs="仿宋_GB2312"/>
          <w:color w:val="auto"/>
          <w:sz w:val="24"/>
          <w:szCs w:val="24"/>
          <w:highlight w:val="none"/>
          <w:u w:val="single"/>
        </w:rPr>
        <w:t>广州交易集团有限公司（广州公共资源交易中心）</w:t>
      </w:r>
      <w:r>
        <w:rPr>
          <w:rFonts w:hint="eastAsia" w:ascii="宋体" w:hAnsi="宋体" w:eastAsia="宋体" w:cs="Times New Roman"/>
          <w:color w:val="auto"/>
          <w:sz w:val="24"/>
          <w:szCs w:val="24"/>
          <w:highlight w:val="none"/>
        </w:rPr>
        <w:t>网站下载招标图纸。</w:t>
      </w:r>
    </w:p>
    <w:p w14:paraId="2356D03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val="0"/>
          <w:color w:val="auto"/>
          <w:kern w:val="2"/>
          <w:sz w:val="44"/>
          <w:szCs w:val="44"/>
          <w:highlight w:val="none"/>
        </w:rPr>
      </w:pPr>
      <w:r>
        <w:rPr>
          <w:rFonts w:hint="eastAsia" w:ascii="宋体" w:hAnsi="宋体" w:eastAsia="宋体" w:cs="Times New Roman"/>
          <w:color w:val="auto"/>
          <w:sz w:val="24"/>
          <w:szCs w:val="24"/>
          <w:highlight w:val="none"/>
        </w:rPr>
        <w:br w:type="page"/>
      </w:r>
      <w:r>
        <w:rPr>
          <w:rFonts w:hint="eastAsia" w:ascii="宋体" w:hAnsi="宋体" w:eastAsia="宋体" w:cs="宋体"/>
          <w:color w:val="auto"/>
          <w:kern w:val="2"/>
          <w:sz w:val="24"/>
          <w:szCs w:val="24"/>
          <w:highlight w:val="none"/>
          <w:lang w:val="en-US" w:eastAsia="zh-CN" w:bidi="ar"/>
        </w:rPr>
        <w:t>附件一：</w:t>
      </w:r>
    </w:p>
    <w:p w14:paraId="2C8E8DD5">
      <w:pPr>
        <w:jc w:val="center"/>
        <w:rPr>
          <w:color w:val="auto"/>
          <w:highlight w:val="none"/>
        </w:rPr>
      </w:pPr>
      <w:r>
        <w:drawing>
          <wp:inline distT="0" distB="0" distL="114300" distR="114300">
            <wp:extent cx="5271135" cy="5062855"/>
            <wp:effectExtent l="0" t="0" r="571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71135" cy="5062855"/>
                    </a:xfrm>
                    <a:prstGeom prst="rect">
                      <a:avLst/>
                    </a:prstGeom>
                    <a:noFill/>
                    <a:ln>
                      <a:noFill/>
                    </a:ln>
                  </pic:spPr>
                </pic:pic>
              </a:graphicData>
            </a:graphic>
          </wp:inline>
        </w:drawing>
      </w:r>
      <w:r>
        <w:rPr>
          <w:rFonts w:hint="eastAsia" w:ascii="宋体" w:hAnsi="宋体" w:eastAsia="宋体" w:cs="宋体"/>
          <w:color w:val="auto"/>
          <w:kern w:val="2"/>
          <w:sz w:val="24"/>
          <w:szCs w:val="24"/>
          <w:highlight w:val="none"/>
          <w:lang w:val="en-US" w:eastAsia="zh-CN" w:bidi="ar"/>
        </w:rPr>
        <w:t xml:space="preserve"> </w:t>
      </w:r>
    </w:p>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F5F43">
    <w:pPr>
      <w:pStyle w:val="11"/>
      <w:jc w:val="center"/>
    </w:pPr>
  </w:p>
  <w:p w14:paraId="4B9C633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A2B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59AFB9E0">
                          <w:pPr>
                            <w:pStyle w:val="11"/>
                            <w:rPr>
                              <w:rStyle w:val="20"/>
                              <w:sz w:val="21"/>
                              <w:szCs w:val="21"/>
                            </w:rPr>
                          </w:pPr>
                          <w:r>
                            <w:rPr>
                              <w:sz w:val="21"/>
                              <w:szCs w:val="21"/>
                            </w:rPr>
                            <w:fldChar w:fldCharType="begin"/>
                          </w:r>
                          <w:r>
                            <w:rPr>
                              <w:rStyle w:val="20"/>
                              <w:sz w:val="21"/>
                              <w:szCs w:val="21"/>
                            </w:rPr>
                            <w:instrText xml:space="preserve">PAGE  </w:instrText>
                          </w:r>
                          <w:r>
                            <w:rPr>
                              <w:sz w:val="21"/>
                              <w:szCs w:val="21"/>
                            </w:rPr>
                            <w:fldChar w:fldCharType="separate"/>
                          </w:r>
                          <w:r>
                            <w:rPr>
                              <w:rStyle w:val="20"/>
                              <w:sz w:val="21"/>
                              <w:szCs w:val="21"/>
                            </w:rPr>
                            <w:t>56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i0qNHRAAAAAwEAAA8AAAAAAAAAAQAgAAAAIgAAAGRycy9kb3du&#10;cmV2LnhtbFBLAQIUABQAAAAIAIdO4kBMmHq9zQEAAJcDAAAOAAAAAAAAAAEAIAAAACABAABkcnMv&#10;ZTJvRG9jLnhtbFBLBQYAAAAABgAGAFkBAABfBQAAAAA=&#10;">
              <v:fill on="f" focussize="0,0"/>
              <v:stroke on="f"/>
              <v:imagedata o:title=""/>
              <o:lock v:ext="edit" aspectratio="f"/>
              <v:textbox inset="0mm,0mm,0mm,0mm" style="mso-fit-shape-to-text:t;">
                <w:txbxContent>
                  <w:p w14:paraId="59AFB9E0">
                    <w:pPr>
                      <w:pStyle w:val="11"/>
                      <w:rPr>
                        <w:rStyle w:val="20"/>
                        <w:sz w:val="21"/>
                        <w:szCs w:val="21"/>
                      </w:rPr>
                    </w:pPr>
                    <w:r>
                      <w:rPr>
                        <w:sz w:val="21"/>
                        <w:szCs w:val="21"/>
                      </w:rPr>
                      <w:fldChar w:fldCharType="begin"/>
                    </w:r>
                    <w:r>
                      <w:rPr>
                        <w:rStyle w:val="20"/>
                        <w:sz w:val="21"/>
                        <w:szCs w:val="21"/>
                      </w:rPr>
                      <w:instrText xml:space="preserve">PAGE  </w:instrText>
                    </w:r>
                    <w:r>
                      <w:rPr>
                        <w:sz w:val="21"/>
                        <w:szCs w:val="21"/>
                      </w:rPr>
                      <w:fldChar w:fldCharType="separate"/>
                    </w:r>
                    <w:r>
                      <w:rPr>
                        <w:rStyle w:val="20"/>
                        <w:sz w:val="21"/>
                        <w:szCs w:val="21"/>
                      </w:rPr>
                      <w:t>56</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D24A">
    <w:pPr>
      <w:pStyle w:val="12"/>
      <w:pBdr>
        <w:bottom w:val="none" w:color="auto" w:sz="0" w:space="0"/>
      </w:pBdr>
      <w:jc w:val="center"/>
      <w:rPr>
        <w:rFonts w:hint="eastAsia" w:ascii="宋体" w:hAnsi="宋体" w:eastAsia="宋体" w:cs="宋体"/>
        <w:sz w:val="20"/>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1760">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F62D">
    <w:pPr>
      <w:pStyle w:val="12"/>
      <w:pBdr>
        <w:bottom w:val="none" w:color="auto" w:sz="0" w:space="0"/>
      </w:pBdr>
      <w:jc w:val="center"/>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F785"/>
    <w:multiLevelType w:val="singleLevel"/>
    <w:tmpl w:val="B7F7F7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MDY4MmNjMDliZmM3OTU5Mzk0YWY1MDg5Nzk0NGEifQ=="/>
  </w:docVars>
  <w:rsids>
    <w:rsidRoot w:val="00000000"/>
    <w:rsid w:val="0038479A"/>
    <w:rsid w:val="00EA7B97"/>
    <w:rsid w:val="016C0FA1"/>
    <w:rsid w:val="028C553E"/>
    <w:rsid w:val="031C3B9F"/>
    <w:rsid w:val="037B371D"/>
    <w:rsid w:val="03A36D5C"/>
    <w:rsid w:val="03CD77CC"/>
    <w:rsid w:val="04E6106A"/>
    <w:rsid w:val="05314331"/>
    <w:rsid w:val="056E433A"/>
    <w:rsid w:val="05A27E44"/>
    <w:rsid w:val="0622128E"/>
    <w:rsid w:val="068838F4"/>
    <w:rsid w:val="06AC7931"/>
    <w:rsid w:val="06C571C0"/>
    <w:rsid w:val="07793D04"/>
    <w:rsid w:val="080812F8"/>
    <w:rsid w:val="08155C5D"/>
    <w:rsid w:val="085B58CB"/>
    <w:rsid w:val="0C2801BA"/>
    <w:rsid w:val="0C4D7C21"/>
    <w:rsid w:val="0D1422A7"/>
    <w:rsid w:val="0D5D4F92"/>
    <w:rsid w:val="0E373E4A"/>
    <w:rsid w:val="0E711473"/>
    <w:rsid w:val="0EFA7F5D"/>
    <w:rsid w:val="0F7C5B2C"/>
    <w:rsid w:val="0F831C97"/>
    <w:rsid w:val="0FD91EF8"/>
    <w:rsid w:val="0FFCFF55"/>
    <w:rsid w:val="11E54944"/>
    <w:rsid w:val="13065DFF"/>
    <w:rsid w:val="13322B62"/>
    <w:rsid w:val="13331DF8"/>
    <w:rsid w:val="13DF0CF7"/>
    <w:rsid w:val="13E62E35"/>
    <w:rsid w:val="14F7697C"/>
    <w:rsid w:val="15A27E4F"/>
    <w:rsid w:val="17CC40F0"/>
    <w:rsid w:val="18142E1F"/>
    <w:rsid w:val="18856C43"/>
    <w:rsid w:val="18CF1CD4"/>
    <w:rsid w:val="192D0705"/>
    <w:rsid w:val="19871075"/>
    <w:rsid w:val="19873995"/>
    <w:rsid w:val="1A776B06"/>
    <w:rsid w:val="1A8978C4"/>
    <w:rsid w:val="1AA26BEA"/>
    <w:rsid w:val="1B2F1E2D"/>
    <w:rsid w:val="1B3E4E1E"/>
    <w:rsid w:val="1C4306F9"/>
    <w:rsid w:val="1CCF0200"/>
    <w:rsid w:val="1CDA2E0B"/>
    <w:rsid w:val="1EE71DB7"/>
    <w:rsid w:val="1F1A3993"/>
    <w:rsid w:val="1FD5F848"/>
    <w:rsid w:val="209A203C"/>
    <w:rsid w:val="21076199"/>
    <w:rsid w:val="21732F77"/>
    <w:rsid w:val="218A3988"/>
    <w:rsid w:val="21C07D45"/>
    <w:rsid w:val="21D91B46"/>
    <w:rsid w:val="22903B76"/>
    <w:rsid w:val="22A33948"/>
    <w:rsid w:val="22DD016D"/>
    <w:rsid w:val="236830D0"/>
    <w:rsid w:val="23BD5235"/>
    <w:rsid w:val="2422313A"/>
    <w:rsid w:val="24EA6E4C"/>
    <w:rsid w:val="263132B7"/>
    <w:rsid w:val="26DA5B19"/>
    <w:rsid w:val="27EE58AB"/>
    <w:rsid w:val="29B64C00"/>
    <w:rsid w:val="2A140CB4"/>
    <w:rsid w:val="2B246C94"/>
    <w:rsid w:val="2B4A3852"/>
    <w:rsid w:val="2D345E10"/>
    <w:rsid w:val="2E92569B"/>
    <w:rsid w:val="2F7B2045"/>
    <w:rsid w:val="2FBC4423"/>
    <w:rsid w:val="30671C1C"/>
    <w:rsid w:val="3078676B"/>
    <w:rsid w:val="31BF0126"/>
    <w:rsid w:val="32070A69"/>
    <w:rsid w:val="322D0408"/>
    <w:rsid w:val="32454D73"/>
    <w:rsid w:val="333A0650"/>
    <w:rsid w:val="33B03E7B"/>
    <w:rsid w:val="33E30513"/>
    <w:rsid w:val="34287EB5"/>
    <w:rsid w:val="34483D91"/>
    <w:rsid w:val="35780FBB"/>
    <w:rsid w:val="35A22073"/>
    <w:rsid w:val="35D77444"/>
    <w:rsid w:val="35FF7FE8"/>
    <w:rsid w:val="36603F29"/>
    <w:rsid w:val="37461371"/>
    <w:rsid w:val="38092C35"/>
    <w:rsid w:val="389D75C2"/>
    <w:rsid w:val="38C56C0D"/>
    <w:rsid w:val="38E87B90"/>
    <w:rsid w:val="393873DF"/>
    <w:rsid w:val="3A0B0650"/>
    <w:rsid w:val="3A383624"/>
    <w:rsid w:val="3BDD3C99"/>
    <w:rsid w:val="3BF7036F"/>
    <w:rsid w:val="3C7E326E"/>
    <w:rsid w:val="3D145A6E"/>
    <w:rsid w:val="3DBBCE1B"/>
    <w:rsid w:val="3E7353DF"/>
    <w:rsid w:val="3FA66D7D"/>
    <w:rsid w:val="3FBF943F"/>
    <w:rsid w:val="3FD45F66"/>
    <w:rsid w:val="3FDB6D16"/>
    <w:rsid w:val="3FF74CF6"/>
    <w:rsid w:val="3FFFC5EE"/>
    <w:rsid w:val="404B79F8"/>
    <w:rsid w:val="41A72053"/>
    <w:rsid w:val="41DB4DAC"/>
    <w:rsid w:val="424010B3"/>
    <w:rsid w:val="444E7AB7"/>
    <w:rsid w:val="445F7F16"/>
    <w:rsid w:val="44C24001"/>
    <w:rsid w:val="45703355"/>
    <w:rsid w:val="465E1FFC"/>
    <w:rsid w:val="468C74AF"/>
    <w:rsid w:val="46C6602A"/>
    <w:rsid w:val="46FF7627"/>
    <w:rsid w:val="47614540"/>
    <w:rsid w:val="479757BE"/>
    <w:rsid w:val="47C907A6"/>
    <w:rsid w:val="48EC7A4D"/>
    <w:rsid w:val="4A6769C0"/>
    <w:rsid w:val="4B3814C1"/>
    <w:rsid w:val="4BDF193C"/>
    <w:rsid w:val="4D221933"/>
    <w:rsid w:val="4E50179F"/>
    <w:rsid w:val="4E6737AD"/>
    <w:rsid w:val="50740436"/>
    <w:rsid w:val="51212F35"/>
    <w:rsid w:val="51283F32"/>
    <w:rsid w:val="5157075F"/>
    <w:rsid w:val="51874532"/>
    <w:rsid w:val="51FA0E37"/>
    <w:rsid w:val="53FD3E13"/>
    <w:rsid w:val="54A9774A"/>
    <w:rsid w:val="5520724E"/>
    <w:rsid w:val="55684751"/>
    <w:rsid w:val="57E3D6D7"/>
    <w:rsid w:val="598C3B80"/>
    <w:rsid w:val="5A9B234F"/>
    <w:rsid w:val="5AE53630"/>
    <w:rsid w:val="5AFE6CB2"/>
    <w:rsid w:val="5B6E30D6"/>
    <w:rsid w:val="5BD65EBC"/>
    <w:rsid w:val="5BFE53FD"/>
    <w:rsid w:val="5C2C35E1"/>
    <w:rsid w:val="5C777CD8"/>
    <w:rsid w:val="5D283143"/>
    <w:rsid w:val="5E1E62F4"/>
    <w:rsid w:val="5EB6283A"/>
    <w:rsid w:val="5F0FD993"/>
    <w:rsid w:val="5F6EB1F2"/>
    <w:rsid w:val="5F7A755A"/>
    <w:rsid w:val="5FBBF5E8"/>
    <w:rsid w:val="5FD134C5"/>
    <w:rsid w:val="5FFA069B"/>
    <w:rsid w:val="603441C9"/>
    <w:rsid w:val="607D7621"/>
    <w:rsid w:val="608B1062"/>
    <w:rsid w:val="60FF240D"/>
    <w:rsid w:val="61573FF7"/>
    <w:rsid w:val="617B6212"/>
    <w:rsid w:val="61D144F4"/>
    <w:rsid w:val="61EF297F"/>
    <w:rsid w:val="62ED08B8"/>
    <w:rsid w:val="6357614B"/>
    <w:rsid w:val="63A1155A"/>
    <w:rsid w:val="64225C73"/>
    <w:rsid w:val="65004797"/>
    <w:rsid w:val="65E85A4D"/>
    <w:rsid w:val="6655648C"/>
    <w:rsid w:val="66A650D9"/>
    <w:rsid w:val="66EFCCB5"/>
    <w:rsid w:val="68077DF9"/>
    <w:rsid w:val="682C160E"/>
    <w:rsid w:val="684B1305"/>
    <w:rsid w:val="687DD35A"/>
    <w:rsid w:val="68DF4507"/>
    <w:rsid w:val="68F54323"/>
    <w:rsid w:val="6A471FDE"/>
    <w:rsid w:val="6AD3745A"/>
    <w:rsid w:val="6AF40B09"/>
    <w:rsid w:val="6B9A077B"/>
    <w:rsid w:val="6C0044C7"/>
    <w:rsid w:val="6C1DBB5C"/>
    <w:rsid w:val="6D6B2AF6"/>
    <w:rsid w:val="6DCFB0C9"/>
    <w:rsid w:val="6DE99069"/>
    <w:rsid w:val="6EDC6C55"/>
    <w:rsid w:val="6EFF52EE"/>
    <w:rsid w:val="6F5222A2"/>
    <w:rsid w:val="6FCB146F"/>
    <w:rsid w:val="6FFFBEDD"/>
    <w:rsid w:val="705063CD"/>
    <w:rsid w:val="723A206A"/>
    <w:rsid w:val="724E4FA2"/>
    <w:rsid w:val="724E6D8D"/>
    <w:rsid w:val="72C90E0B"/>
    <w:rsid w:val="72FD0776"/>
    <w:rsid w:val="7317ADD1"/>
    <w:rsid w:val="73410663"/>
    <w:rsid w:val="73592996"/>
    <w:rsid w:val="737D56AF"/>
    <w:rsid w:val="73E21F4A"/>
    <w:rsid w:val="74513C7D"/>
    <w:rsid w:val="75AEDA09"/>
    <w:rsid w:val="75E86950"/>
    <w:rsid w:val="764717EE"/>
    <w:rsid w:val="772F1EC7"/>
    <w:rsid w:val="779F035E"/>
    <w:rsid w:val="77D02164"/>
    <w:rsid w:val="77DEF8B7"/>
    <w:rsid w:val="77FF18BE"/>
    <w:rsid w:val="78A64125"/>
    <w:rsid w:val="78C80EDF"/>
    <w:rsid w:val="79CE505D"/>
    <w:rsid w:val="79F24465"/>
    <w:rsid w:val="7A756E44"/>
    <w:rsid w:val="7AF10BC1"/>
    <w:rsid w:val="7AFF1D4C"/>
    <w:rsid w:val="7AFFA5A9"/>
    <w:rsid w:val="7B5ADD9C"/>
    <w:rsid w:val="7BDF772A"/>
    <w:rsid w:val="7D1A7B65"/>
    <w:rsid w:val="7D2911C6"/>
    <w:rsid w:val="7D7A4E9D"/>
    <w:rsid w:val="7D9E1C7F"/>
    <w:rsid w:val="7DAF0040"/>
    <w:rsid w:val="7DFE9A08"/>
    <w:rsid w:val="7DFFE73B"/>
    <w:rsid w:val="7E094473"/>
    <w:rsid w:val="7E7D4D92"/>
    <w:rsid w:val="7EBBF152"/>
    <w:rsid w:val="7F43AF94"/>
    <w:rsid w:val="7F6ABEDE"/>
    <w:rsid w:val="7F746952"/>
    <w:rsid w:val="7F767D6B"/>
    <w:rsid w:val="7FD461CE"/>
    <w:rsid w:val="7FDDE16A"/>
    <w:rsid w:val="7FDE60A5"/>
    <w:rsid w:val="7FEF4BB2"/>
    <w:rsid w:val="7FFE2A17"/>
    <w:rsid w:val="7FFF1FF4"/>
    <w:rsid w:val="9D2D2C9E"/>
    <w:rsid w:val="9EDFBF8D"/>
    <w:rsid w:val="9EF8C29F"/>
    <w:rsid w:val="9FBDBC49"/>
    <w:rsid w:val="9FF75221"/>
    <w:rsid w:val="AFB7299F"/>
    <w:rsid w:val="AFFBEB82"/>
    <w:rsid w:val="B1EBA851"/>
    <w:rsid w:val="BDBF629E"/>
    <w:rsid w:val="BFED890A"/>
    <w:rsid w:val="BFFE9D18"/>
    <w:rsid w:val="DEF7A75A"/>
    <w:rsid w:val="DEFD7442"/>
    <w:rsid w:val="DFABF00D"/>
    <w:rsid w:val="DFEFBAB4"/>
    <w:rsid w:val="E2FF5C65"/>
    <w:rsid w:val="EB5703D3"/>
    <w:rsid w:val="EBD36AD3"/>
    <w:rsid w:val="EE9F52E8"/>
    <w:rsid w:val="EEBDEC5C"/>
    <w:rsid w:val="EF7EA56D"/>
    <w:rsid w:val="EFF7CC5A"/>
    <w:rsid w:val="F34C9C10"/>
    <w:rsid w:val="F3DD6867"/>
    <w:rsid w:val="F4EF7DC1"/>
    <w:rsid w:val="F4FD0E5E"/>
    <w:rsid w:val="F56ED0D1"/>
    <w:rsid w:val="F5F6B936"/>
    <w:rsid w:val="F77F343C"/>
    <w:rsid w:val="F7D780E9"/>
    <w:rsid w:val="F7DF7CC0"/>
    <w:rsid w:val="F7FF14E3"/>
    <w:rsid w:val="F7FF2815"/>
    <w:rsid w:val="FAFE13CD"/>
    <w:rsid w:val="FBF01D47"/>
    <w:rsid w:val="FD0F5389"/>
    <w:rsid w:val="FD3AB95F"/>
    <w:rsid w:val="FE758FBE"/>
    <w:rsid w:val="FEB6A17A"/>
    <w:rsid w:val="FF5D7450"/>
    <w:rsid w:val="FF7CC04C"/>
    <w:rsid w:val="FF7D1E34"/>
    <w:rsid w:val="FF7FB8B1"/>
    <w:rsid w:val="FF7FE84D"/>
    <w:rsid w:val="FFA7D618"/>
    <w:rsid w:val="FFB7CA61"/>
    <w:rsid w:val="FFBC7290"/>
    <w:rsid w:val="FFD74A91"/>
    <w:rsid w:val="FFE5CA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40" w:beforeLines="0" w:after="120" w:afterLines="0" w:line="360" w:lineRule="auto"/>
      <w:jc w:val="center"/>
      <w:outlineLvl w:val="1"/>
    </w:pPr>
    <w:rPr>
      <w:rFonts w:ascii="仿宋_GB2312" w:hAnsi="宋体" w:eastAsia="仿宋_GB2312" w:cs="宋体"/>
      <w:b/>
      <w:sz w:val="30"/>
      <w:szCs w:val="30"/>
    </w:rPr>
  </w:style>
  <w:style w:type="paragraph" w:styleId="3">
    <w:name w:val="heading 3"/>
    <w:basedOn w:val="1"/>
    <w:next w:val="4"/>
    <w:qFormat/>
    <w:uiPriority w:val="0"/>
    <w:pPr>
      <w:keepNext/>
      <w:keepLines/>
      <w:spacing w:before="156" w:beforeLines="50" w:line="360" w:lineRule="auto"/>
      <w:jc w:val="center"/>
      <w:outlineLvl w:val="2"/>
    </w:pPr>
    <w:rPr>
      <w:rFonts w:ascii="仿宋_GB2312" w:hAnsi="宋体" w:eastAsia="仿宋_GB2312" w:cs="宋体"/>
      <w:b/>
      <w:sz w:val="30"/>
      <w:szCs w:val="30"/>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0"/>
    <w:pPr>
      <w:spacing w:after="120" w:afterLines="0"/>
    </w:pPr>
    <w:rPr>
      <w:rFonts w:ascii="Times New Roman" w:hAnsi="Times New Roman" w:eastAsia="楷体_GB2312" w:cs="Times New Roman"/>
      <w:szCs w:val="20"/>
    </w:rPr>
  </w:style>
  <w:style w:type="paragraph" w:styleId="7">
    <w:name w:val="Title"/>
    <w:basedOn w:val="1"/>
    <w:next w:val="1"/>
    <w:qFormat/>
    <w:uiPriority w:val="0"/>
    <w:pPr>
      <w:spacing w:before="120" w:beforeLines="0" w:after="60" w:afterLines="0"/>
      <w:jc w:val="center"/>
    </w:pPr>
    <w:rPr>
      <w:rFonts w:ascii="Arial" w:hAnsi="Arial" w:eastAsia="楷体_GB2312" w:cs="Times New Roman"/>
      <w:b/>
      <w:sz w:val="44"/>
      <w:szCs w:val="20"/>
    </w:rPr>
  </w:style>
  <w:style w:type="paragraph" w:styleId="8">
    <w:name w:val="Plain Text"/>
    <w:basedOn w:val="1"/>
    <w:next w:val="1"/>
    <w:qFormat/>
    <w:uiPriority w:val="0"/>
    <w:rPr>
      <w:rFonts w:ascii="宋体" w:hAnsi="Courier New" w:eastAsia="楷体_GB2312"/>
      <w:szCs w:val="24"/>
    </w:rPr>
  </w:style>
  <w:style w:type="paragraph" w:styleId="9">
    <w:name w:val="Date"/>
    <w:basedOn w:val="1"/>
    <w:next w:val="1"/>
    <w:qFormat/>
    <w:uiPriority w:val="0"/>
    <w:rPr>
      <w:rFonts w:ascii="Times New Roman" w:hAnsi="Times New Roman" w:eastAsia="楷体_GB2312" w:cs="Times New Roman"/>
      <w:szCs w:val="20"/>
    </w:rPr>
  </w:style>
  <w:style w:type="paragraph" w:styleId="10">
    <w:name w:val="endnote text"/>
    <w:basedOn w:val="1"/>
    <w:qFormat/>
    <w:uiPriority w:val="0"/>
    <w:pPr>
      <w:snapToGrid w:val="0"/>
      <w:jc w:val="left"/>
    </w:pPr>
    <w:rPr>
      <w:rFonts w:ascii="宋体" w:hAnsi="宋体"/>
      <w:szCs w:val="24"/>
    </w:rPr>
  </w:style>
  <w:style w:type="paragraph" w:styleId="11">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13">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14">
    <w:name w:val="toc 2"/>
    <w:basedOn w:val="1"/>
    <w:next w:val="1"/>
    <w:qFormat/>
    <w:uiPriority w:val="0"/>
    <w:pPr>
      <w:tabs>
        <w:tab w:val="right" w:leader="dot" w:pos="9060"/>
      </w:tabs>
      <w:snapToGrid w:val="0"/>
      <w:spacing w:line="360" w:lineRule="auto"/>
      <w:jc w:val="left"/>
    </w:pPr>
    <w:rPr>
      <w:sz w:val="24"/>
      <w:szCs w:val="24"/>
    </w:rPr>
  </w:style>
  <w:style w:type="paragraph" w:styleId="15">
    <w:name w:val="Body Text 2"/>
    <w:basedOn w:val="1"/>
    <w:qFormat/>
    <w:uiPriority w:val="0"/>
    <w:rPr>
      <w:rFonts w:ascii="宋体" w:hAnsi="宋体" w:eastAsia="楷体_GB2312" w:cs="Times New Roman"/>
      <w:szCs w:val="24"/>
      <w:u w:val="single"/>
    </w:rPr>
  </w:style>
  <w:style w:type="paragraph" w:styleId="16">
    <w:name w:val="Normal (Web)"/>
    <w:basedOn w:val="1"/>
    <w:semiHidden/>
    <w:unhideWhenUsed/>
    <w:qFormat/>
    <w:uiPriority w:val="99"/>
    <w:pPr>
      <w:keepNext w:val="0"/>
      <w:keepLines w:val="0"/>
      <w:widowControl/>
      <w:suppressLineNumbers w:val="0"/>
      <w:spacing w:before="0" w:beforeAutospacing="1" w:after="0" w:afterAutospacing="1"/>
      <w:jc w:val="left"/>
    </w:pPr>
    <w:rPr>
      <w:rFonts w:hint="eastAsia" w:ascii="宋体" w:hAnsi="宋体" w:eastAsia="宋体" w:cs="Times New Roman"/>
      <w:kern w:val="0"/>
      <w:sz w:val="24"/>
      <w:szCs w:val="24"/>
      <w:lang w:val="en-US" w:eastAsia="zh-CN" w:bidi="ar"/>
    </w:rPr>
  </w:style>
  <w:style w:type="paragraph" w:styleId="17">
    <w:name w:val="Body Text First Indent"/>
    <w:basedOn w:val="6"/>
    <w:qFormat/>
    <w:uiPriority w:val="0"/>
    <w:pPr>
      <w:ind w:firstLine="420"/>
    </w:pPr>
  </w:style>
  <w:style w:type="character" w:styleId="20">
    <w:name w:val="page number"/>
    <w:basedOn w:val="19"/>
    <w:qFormat/>
    <w:uiPriority w:val="0"/>
    <w:rPr>
      <w:rFonts w:eastAsia="宋体"/>
      <w:kern w:val="2"/>
      <w:sz w:val="24"/>
      <w:szCs w:val="24"/>
      <w:lang w:val="en-US" w:eastAsia="zh-CN" w:bidi="ar-SA"/>
    </w:rPr>
  </w:style>
  <w:style w:type="character" w:styleId="21">
    <w:name w:val="Hyperlink"/>
    <w:basedOn w:val="19"/>
    <w:qFormat/>
    <w:uiPriority w:val="0"/>
    <w:rPr>
      <w:rFonts w:eastAsia="宋体"/>
      <w:color w:val="0000FF"/>
      <w:kern w:val="2"/>
      <w:sz w:val="24"/>
      <w:szCs w:val="24"/>
      <w:u w:val="single"/>
      <w:lang w:val="en-US" w:eastAsia="zh-CN" w:bidi="ar-SA"/>
    </w:rPr>
  </w:style>
  <w:style w:type="paragraph" w:customStyle="1" w:styleId="22">
    <w:name w:val="常用"/>
    <w:basedOn w:val="1"/>
    <w:next w:val="6"/>
    <w:qFormat/>
    <w:uiPriority w:val="0"/>
    <w:pPr>
      <w:spacing w:line="240" w:lineRule="auto"/>
      <w:jc w:val="left"/>
    </w:pPr>
    <w:rPr>
      <w:rFonts w:eastAsia="宋体"/>
      <w:sz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3987</Words>
  <Characters>4237</Characters>
  <Lines>1</Lines>
  <Paragraphs>1</Paragraphs>
  <TotalTime>30</TotalTime>
  <ScaleCrop>false</ScaleCrop>
  <LinksUpToDate>false</LinksUpToDate>
  <CharactersWithSpaces>4357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2024-01-08T01:49:00Z</dcterms:created>
  <dc:creator>SHERRY</dc:creator>
  <cp:lastModifiedBy>鸿广</cp:lastModifiedBy>
  <cp:lastPrinted>2025-12-22T08:11:00Z</cp:lastPrinted>
  <dcterms:modified xsi:type="dcterms:W3CDTF">2025-12-22T10:18:48Z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2D570D9B0BB84B838EDF4E8E8C5A0072_13</vt:lpwstr>
  </property>
  <property fmtid="{D5CDD505-2E9C-101B-9397-08002B2CF9AE}" pid="4" name="KSOTemplateDocerSaveRecord">
    <vt:lpwstr>eyJoZGlkIjoiYmFkY2UxZjJmZjQ5YTBmMzQ1Y2FkY2NmOGUzZmU0NDkiLCJ1c2VySWQiOiI0MzIxOTE0NDMifQ==</vt:lpwstr>
  </property>
</Properties>
</file>