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375FE">
      <w:pPr>
        <w:jc w:val="center"/>
        <w:rPr>
          <w:rStyle w:val="29"/>
          <w:rFonts w:ascii="宋体" w:hAnsi="宋体"/>
          <w:b/>
          <w:bCs/>
          <w:i w:val="0"/>
          <w:iCs w:val="0"/>
          <w:sz w:val="84"/>
          <w:szCs w:val="84"/>
        </w:rPr>
      </w:pPr>
      <w:bookmarkStart w:id="4" w:name="_GoBack"/>
      <w:bookmarkEnd w:id="4"/>
      <w:r>
        <w:rPr>
          <w:rFonts w:hint="eastAsia" w:ascii="宋体" w:hAnsi="宋体"/>
          <w:b/>
          <w:spacing w:val="-11"/>
          <w:sz w:val="52"/>
          <w:szCs w:val="52"/>
          <w:lang w:eastAsia="zh-CN"/>
        </w:rPr>
        <w:t>2025年花都区森林质量优化提升工程</w:t>
      </w:r>
      <w:r>
        <w:rPr>
          <w:rFonts w:hint="eastAsia" w:ascii="宋体" w:hAnsi="宋体"/>
          <w:b/>
          <w:sz w:val="52"/>
          <w:szCs w:val="52"/>
          <w:lang w:eastAsia="zh-CN"/>
        </w:rPr>
        <w:t>施工监理</w:t>
      </w:r>
    </w:p>
    <w:p w14:paraId="4B424722">
      <w:pPr>
        <w:pStyle w:val="21"/>
        <w:jc w:val="center"/>
      </w:pPr>
    </w:p>
    <w:p w14:paraId="20686606">
      <w:pPr>
        <w:jc w:val="both"/>
        <w:rPr>
          <w:rFonts w:hint="eastAsia" w:ascii="宋体" w:hAnsi="宋体" w:cs="等线"/>
          <w:b/>
          <w:sz w:val="100"/>
          <w:szCs w:val="100"/>
        </w:rPr>
      </w:pPr>
    </w:p>
    <w:p w14:paraId="1120C5D6">
      <w:pPr>
        <w:jc w:val="center"/>
        <w:rPr>
          <w:rFonts w:ascii="宋体" w:hAnsi="宋体" w:cs="等线"/>
          <w:b/>
          <w:sz w:val="100"/>
          <w:szCs w:val="100"/>
        </w:rPr>
      </w:pPr>
      <w:r>
        <w:rPr>
          <w:rFonts w:hint="eastAsia" w:ascii="宋体" w:hAnsi="宋体" w:cs="等线"/>
          <w:b/>
          <w:sz w:val="100"/>
          <w:szCs w:val="100"/>
        </w:rPr>
        <w:t>招 标 公 告</w:t>
      </w:r>
    </w:p>
    <w:p w14:paraId="2D9F67B3">
      <w:pPr>
        <w:ind w:firstLine="1687"/>
        <w:jc w:val="center"/>
        <w:rPr>
          <w:rStyle w:val="29"/>
          <w:rFonts w:ascii="宋体" w:hAnsi="宋体"/>
          <w:b/>
          <w:bCs/>
          <w:i w:val="0"/>
          <w:iCs w:val="0"/>
          <w:sz w:val="84"/>
          <w:szCs w:val="84"/>
        </w:rPr>
      </w:pPr>
    </w:p>
    <w:p w14:paraId="54E47A1F">
      <w:pPr>
        <w:ind w:firstLine="643"/>
        <w:jc w:val="center"/>
        <w:rPr>
          <w:rFonts w:ascii="宋体" w:hAnsi="宋体"/>
          <w:b/>
          <w:bCs/>
          <w:sz w:val="32"/>
          <w:szCs w:val="32"/>
        </w:rPr>
      </w:pPr>
    </w:p>
    <w:p w14:paraId="7C731CFC">
      <w:pPr>
        <w:ind w:firstLine="3213" w:firstLineChars="1000"/>
        <w:rPr>
          <w:rFonts w:ascii="宋体" w:hAnsi="宋体"/>
          <w:b/>
          <w:bCs/>
          <w:sz w:val="32"/>
          <w:szCs w:val="32"/>
        </w:rPr>
      </w:pPr>
    </w:p>
    <w:p w14:paraId="04F07F03">
      <w:pPr>
        <w:pStyle w:val="8"/>
        <w:rPr>
          <w:rFonts w:ascii="宋体" w:hAnsi="宋体"/>
          <w:b/>
          <w:bCs/>
          <w:sz w:val="32"/>
          <w:szCs w:val="32"/>
        </w:rPr>
      </w:pPr>
    </w:p>
    <w:p w14:paraId="74E973BE">
      <w:pPr>
        <w:rPr>
          <w:rFonts w:ascii="宋体" w:hAnsi="宋体"/>
          <w:b/>
          <w:bCs/>
          <w:sz w:val="32"/>
          <w:szCs w:val="32"/>
        </w:rPr>
      </w:pPr>
    </w:p>
    <w:p w14:paraId="2FE88003">
      <w:pPr>
        <w:pStyle w:val="8"/>
      </w:pPr>
    </w:p>
    <w:p w14:paraId="5B09D892">
      <w:pPr>
        <w:pStyle w:val="21"/>
      </w:pPr>
    </w:p>
    <w:p w14:paraId="6AE52A38"/>
    <w:p w14:paraId="365E4B58">
      <w:pPr>
        <w:pStyle w:val="8"/>
      </w:pPr>
    </w:p>
    <w:p w14:paraId="010AC5FB">
      <w:pPr>
        <w:pStyle w:val="21"/>
      </w:pPr>
    </w:p>
    <w:p w14:paraId="348AE6FD">
      <w:pPr>
        <w:ind w:firstLine="3036" w:firstLineChars="945"/>
        <w:rPr>
          <w:rFonts w:ascii="宋体" w:hAnsi="宋体"/>
          <w:b/>
          <w:bCs/>
          <w:sz w:val="32"/>
          <w:szCs w:val="32"/>
        </w:rPr>
      </w:pPr>
    </w:p>
    <w:p w14:paraId="11E8A80D">
      <w:pPr>
        <w:spacing w:line="360" w:lineRule="auto"/>
        <w:jc w:val="left"/>
        <w:rPr>
          <w:rFonts w:hint="eastAsia" w:ascii="宋体" w:hAnsi="宋体" w:eastAsia="宋体" w:cs="宋体"/>
          <w:sz w:val="28"/>
          <w:szCs w:val="28"/>
        </w:rPr>
      </w:pPr>
    </w:p>
    <w:p w14:paraId="49BC891D">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招</w:t>
      </w:r>
      <w:r>
        <w:rPr>
          <w:rFonts w:hint="eastAsia" w:ascii="宋体" w:hAnsi="宋体" w:cs="宋体"/>
          <w:sz w:val="28"/>
          <w:szCs w:val="28"/>
          <w:lang w:val="en-US" w:eastAsia="zh-CN"/>
        </w:rPr>
        <w:t xml:space="preserve"> </w:t>
      </w:r>
      <w:r>
        <w:rPr>
          <w:rFonts w:hint="eastAsia" w:ascii="宋体" w:hAnsi="宋体" w:eastAsia="宋体" w:cs="宋体"/>
          <w:sz w:val="28"/>
          <w:szCs w:val="28"/>
        </w:rPr>
        <w:t>标</w:t>
      </w:r>
      <w:r>
        <w:rPr>
          <w:rFonts w:hint="eastAsia" w:ascii="宋体" w:hAnsi="宋体" w:cs="宋体"/>
          <w:sz w:val="28"/>
          <w:szCs w:val="28"/>
          <w:lang w:val="en-US" w:eastAsia="zh-CN"/>
        </w:rPr>
        <w:t xml:space="preserve"> </w:t>
      </w:r>
      <w:r>
        <w:rPr>
          <w:rFonts w:hint="eastAsia" w:ascii="宋体" w:hAnsi="宋体" w:eastAsia="宋体" w:cs="宋体"/>
          <w:sz w:val="28"/>
          <w:szCs w:val="28"/>
        </w:rPr>
        <w:t>人：</w:t>
      </w:r>
      <w:r>
        <w:rPr>
          <w:rFonts w:hint="eastAsia" w:ascii="宋体" w:hAnsi="宋体" w:cs="宋体"/>
          <w:sz w:val="28"/>
          <w:szCs w:val="28"/>
          <w:u w:val="single"/>
          <w:lang w:eastAsia="zh-CN"/>
        </w:rPr>
        <w:t>广州市花都区林业工作站</w:t>
      </w:r>
      <w:r>
        <w:rPr>
          <w:rFonts w:hint="eastAsia" w:ascii="宋体" w:hAnsi="宋体" w:eastAsia="宋体" w:cs="宋体"/>
          <w:sz w:val="28"/>
          <w:szCs w:val="28"/>
        </w:rPr>
        <w:t>（盖单位章）</w:t>
      </w:r>
    </w:p>
    <w:p w14:paraId="30E0FC86">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招标代理：</w:t>
      </w:r>
      <w:r>
        <w:rPr>
          <w:rFonts w:hint="eastAsia" w:ascii="宋体" w:hAnsi="宋体" w:cs="宋体"/>
          <w:sz w:val="28"/>
          <w:szCs w:val="28"/>
          <w:u w:val="single"/>
          <w:lang w:eastAsia="zh-CN"/>
        </w:rPr>
        <w:t>广州荣智建设咨询有限公司</w:t>
      </w:r>
      <w:r>
        <w:rPr>
          <w:rFonts w:hint="eastAsia" w:ascii="宋体" w:hAnsi="宋体" w:eastAsia="宋体" w:cs="宋体"/>
          <w:sz w:val="28"/>
          <w:szCs w:val="28"/>
        </w:rPr>
        <w:t>（盖单位章）</w:t>
      </w:r>
    </w:p>
    <w:p w14:paraId="54C04867">
      <w:pPr>
        <w:spacing w:line="360" w:lineRule="auto"/>
        <w:ind w:firstLine="2800" w:firstLineChars="1000"/>
        <w:rPr>
          <w:rFonts w:ascii="宋体" w:hAnsi="宋体"/>
          <w:sz w:val="32"/>
          <w:szCs w:val="32"/>
        </w:rPr>
      </w:pPr>
      <w:r>
        <w:rPr>
          <w:rFonts w:hint="eastAsia" w:ascii="宋体" w:hAnsi="宋体" w:cs="宋体"/>
          <w:sz w:val="28"/>
          <w:szCs w:val="28"/>
          <w:u w:val="single"/>
          <w:lang w:val="en-US" w:eastAsia="zh-CN"/>
        </w:rPr>
        <w:t>2025</w:t>
      </w:r>
      <w:r>
        <w:rPr>
          <w:rFonts w:hint="eastAsia" w:ascii="宋体" w:hAnsi="宋体" w:eastAsia="宋体" w:cs="宋体"/>
          <w:sz w:val="28"/>
          <w:szCs w:val="28"/>
        </w:rPr>
        <w:t>年</w:t>
      </w:r>
      <w:r>
        <w:rPr>
          <w:rFonts w:hint="eastAsia" w:ascii="宋体" w:hAnsi="宋体" w:cs="宋体"/>
          <w:sz w:val="28"/>
          <w:szCs w:val="28"/>
          <w:u w:val="single"/>
          <w:lang w:val="en-US" w:eastAsia="zh-CN"/>
        </w:rPr>
        <w:t>5</w:t>
      </w:r>
      <w:r>
        <w:rPr>
          <w:rFonts w:hint="eastAsia" w:ascii="宋体" w:hAnsi="宋体" w:eastAsia="宋体" w:cs="宋体"/>
          <w:sz w:val="28"/>
          <w:szCs w:val="28"/>
        </w:rPr>
        <w:t>月</w:t>
      </w:r>
    </w:p>
    <w:p w14:paraId="546935E5">
      <w:pPr>
        <w:keepNext w:val="0"/>
        <w:keepLines w:val="0"/>
        <w:pageBreakBefore w:val="0"/>
        <w:widowControl w:val="0"/>
        <w:wordWrap/>
        <w:topLinePunct w:val="0"/>
        <w:autoSpaceDE/>
        <w:autoSpaceDN/>
        <w:bidi w:val="0"/>
        <w:spacing w:line="360" w:lineRule="auto"/>
        <w:jc w:val="center"/>
        <w:textAlignment w:val="auto"/>
        <w:rPr>
          <w:rFonts w:ascii="宋体" w:hAnsi="宋体"/>
          <w:b/>
          <w:sz w:val="32"/>
          <w:szCs w:val="32"/>
        </w:rPr>
      </w:pPr>
      <w:r>
        <w:rPr>
          <w:rFonts w:hint="eastAsia" w:ascii="宋体" w:hAnsi="宋体"/>
          <w:b/>
          <w:sz w:val="32"/>
          <w:szCs w:val="32"/>
          <w:lang w:eastAsia="zh-CN"/>
        </w:rPr>
        <w:t>2025年花都区森林质量优化提升工程施工监理</w:t>
      </w:r>
      <w:r>
        <w:rPr>
          <w:rFonts w:hint="eastAsia" w:ascii="宋体" w:hAnsi="宋体"/>
          <w:b/>
          <w:sz w:val="32"/>
          <w:szCs w:val="32"/>
        </w:rPr>
        <w:t>招标公告</w:t>
      </w:r>
    </w:p>
    <w:p w14:paraId="79CF1A15">
      <w:pPr>
        <w:pStyle w:val="23"/>
        <w:keepNext w:val="0"/>
        <w:keepLines w:val="0"/>
        <w:pageBreakBefore w:val="0"/>
        <w:widowControl w:val="0"/>
        <w:kinsoku w:val="0"/>
        <w:wordWrap/>
        <w:overflowPunct w:val="0"/>
        <w:topLinePunct w:val="0"/>
        <w:autoSpaceDE/>
        <w:autoSpaceDN/>
        <w:bidi w:val="0"/>
        <w:adjustRightInd w:val="0"/>
        <w:snapToGrid w:val="0"/>
        <w:spacing w:before="156" w:line="360" w:lineRule="auto"/>
        <w:ind w:firstLine="482" w:firstLineChars="200"/>
        <w:textAlignment w:val="auto"/>
        <w:rPr>
          <w:sz w:val="24"/>
          <w:szCs w:val="24"/>
        </w:rPr>
      </w:pPr>
      <w:r>
        <w:rPr>
          <w:sz w:val="24"/>
          <w:szCs w:val="24"/>
        </w:rPr>
        <w:t xml:space="preserve">1. </w:t>
      </w:r>
      <w:r>
        <w:rPr>
          <w:rFonts w:hint="eastAsia"/>
          <w:sz w:val="24"/>
          <w:szCs w:val="24"/>
        </w:rPr>
        <w:t>招标条件</w:t>
      </w:r>
    </w:p>
    <w:p w14:paraId="4D71B0A6">
      <w:pPr>
        <w:pStyle w:val="24"/>
        <w:keepNext w:val="0"/>
        <w:keepLines w:val="0"/>
        <w:pageBreakBefore w:val="0"/>
        <w:widowControl w:val="0"/>
        <w:wordWrap/>
        <w:topLinePunct w:val="0"/>
        <w:autoSpaceDE/>
        <w:autoSpaceDN/>
        <w:bidi w:val="0"/>
        <w:spacing w:line="360" w:lineRule="auto"/>
        <w:ind w:firstLine="480" w:firstLineChars="200"/>
        <w:textAlignment w:val="auto"/>
        <w:rPr>
          <w:rFonts w:hint="eastAsia"/>
        </w:rPr>
      </w:pPr>
      <w:r>
        <w:rPr>
          <w:rFonts w:hint="eastAsia"/>
        </w:rPr>
        <w:t>本招标项目</w:t>
      </w:r>
      <w:r>
        <w:rPr>
          <w:rFonts w:hint="eastAsia" w:ascii="宋体" w:hAnsi="宋体" w:eastAsia="宋体" w:cs="宋体"/>
          <w:szCs w:val="21"/>
          <w:u w:val="single"/>
        </w:rPr>
        <w:t>2025年花都区森林质量优化提升工程</w:t>
      </w:r>
      <w:r>
        <w:rPr>
          <w:rFonts w:hint="eastAsia"/>
        </w:rPr>
        <w:t>已由</w:t>
      </w:r>
      <w:r>
        <w:rPr>
          <w:rFonts w:hint="eastAsia" w:ascii="宋体" w:hAnsi="宋体" w:eastAsia="宋体" w:cs="Times New Roman"/>
          <w:sz w:val="24"/>
          <w:szCs w:val="24"/>
          <w:u w:val="single"/>
        </w:rPr>
        <w:t>《广州市林业和园林局关于印发</w:t>
      </w:r>
      <w:r>
        <w:rPr>
          <w:rFonts w:hint="eastAsia" w:cs="Times New Roman"/>
          <w:sz w:val="24"/>
          <w:szCs w:val="24"/>
          <w:u w:val="single"/>
          <w:lang w:eastAsia="zh-CN"/>
        </w:rPr>
        <w:t>《</w:t>
      </w:r>
      <w:r>
        <w:rPr>
          <w:rFonts w:hint="eastAsia" w:cs="Times New Roman"/>
          <w:sz w:val="24"/>
          <w:szCs w:val="24"/>
          <w:u w:val="single"/>
          <w:lang w:val="en-US" w:eastAsia="zh-CN"/>
        </w:rPr>
        <w:t>绿美广州生态建设2025年工作要点</w:t>
      </w:r>
      <w:r>
        <w:rPr>
          <w:rFonts w:hint="eastAsia" w:cs="Times New Roman"/>
          <w:sz w:val="24"/>
          <w:szCs w:val="24"/>
          <w:u w:val="single"/>
          <w:lang w:eastAsia="zh-CN"/>
        </w:rPr>
        <w:t>》</w:t>
      </w:r>
      <w:r>
        <w:rPr>
          <w:rFonts w:hint="eastAsia" w:ascii="宋体" w:hAnsi="宋体" w:eastAsia="宋体" w:cs="Times New Roman"/>
          <w:sz w:val="24"/>
          <w:szCs w:val="24"/>
          <w:u w:val="single"/>
        </w:rPr>
        <w:t>的通知》</w:t>
      </w:r>
      <w:r>
        <w:rPr>
          <w:rFonts w:hint="eastAsia" w:ascii="宋体" w:hAnsi="宋体" w:eastAsia="宋体"/>
          <w:sz w:val="24"/>
          <w:szCs w:val="24"/>
        </w:rPr>
        <w:t>批准</w:t>
      </w:r>
      <w:r>
        <w:rPr>
          <w:rFonts w:hint="eastAsia"/>
        </w:rPr>
        <w:t>建设，项目业主为</w:t>
      </w:r>
      <w:r>
        <w:rPr>
          <w:rFonts w:hint="eastAsia"/>
          <w:u w:val="single"/>
          <w:lang w:eastAsia="zh-CN"/>
        </w:rPr>
        <w:t>广州市花都区林业工作站</w:t>
      </w:r>
      <w:r>
        <w:rPr>
          <w:rFonts w:hint="eastAsia"/>
        </w:rPr>
        <w:t>，建设资金</w:t>
      </w:r>
      <w:r>
        <w:rPr>
          <w:rFonts w:hint="eastAsia" w:ascii="宋体" w:hAnsi="宋体" w:eastAsia="宋体" w:cs="宋体"/>
          <w:szCs w:val="21"/>
        </w:rPr>
        <w:t>为</w:t>
      </w:r>
      <w:r>
        <w:rPr>
          <w:rFonts w:hint="eastAsia" w:cs="宋体"/>
          <w:szCs w:val="21"/>
          <w:u w:val="single"/>
          <w:lang w:val="en-US" w:eastAsia="zh-CN"/>
        </w:rPr>
        <w:t>财政</w:t>
      </w:r>
      <w:r>
        <w:rPr>
          <w:rFonts w:hint="eastAsia" w:ascii="宋体" w:hAnsi="宋体" w:eastAsia="宋体" w:cs="宋体"/>
          <w:szCs w:val="21"/>
          <w:u w:val="single"/>
        </w:rPr>
        <w:t>资金</w:t>
      </w:r>
      <w:r>
        <w:rPr>
          <w:rFonts w:hint="eastAsia"/>
        </w:rPr>
        <w:t>，</w:t>
      </w:r>
      <w:r>
        <w:rPr>
          <w:rFonts w:hint="eastAsia" w:ascii="宋体" w:hAnsi="宋体" w:eastAsia="宋体" w:cs="宋体"/>
          <w:szCs w:val="21"/>
        </w:rPr>
        <w:t>招标人为</w:t>
      </w:r>
      <w:r>
        <w:rPr>
          <w:rFonts w:hint="eastAsia" w:cs="宋体"/>
          <w:szCs w:val="21"/>
          <w:u w:val="single"/>
          <w:lang w:eastAsia="zh-CN"/>
        </w:rPr>
        <w:t>广州市花都区林业工作站</w:t>
      </w:r>
      <w:r>
        <w:rPr>
          <w:rFonts w:hint="eastAsia" w:ascii="宋体" w:hAnsi="宋体" w:eastAsia="宋体" w:cs="宋体"/>
          <w:szCs w:val="21"/>
        </w:rPr>
        <w:t>。</w:t>
      </w:r>
      <w:r>
        <w:rPr>
          <w:rFonts w:hint="eastAsia"/>
        </w:rPr>
        <w:t>项目已具备招标条件，现对该项目的</w:t>
      </w:r>
      <w:r>
        <w:rPr>
          <w:rFonts w:hint="eastAsia"/>
          <w:u w:val="single"/>
          <w:lang w:val="en-US" w:eastAsia="zh-CN"/>
        </w:rPr>
        <w:t>施工</w:t>
      </w:r>
      <w:r>
        <w:rPr>
          <w:rFonts w:hint="eastAsia"/>
          <w:u w:val="single"/>
        </w:rPr>
        <w:t>监理</w:t>
      </w:r>
      <w:r>
        <w:rPr>
          <w:rFonts w:hint="eastAsia"/>
        </w:rPr>
        <w:t>进行公开招标。</w:t>
      </w:r>
    </w:p>
    <w:p w14:paraId="05076608">
      <w:pPr>
        <w:pStyle w:val="23"/>
        <w:keepNext w:val="0"/>
        <w:keepLines w:val="0"/>
        <w:pageBreakBefore w:val="0"/>
        <w:widowControl w:val="0"/>
        <w:wordWrap/>
        <w:topLinePunct w:val="0"/>
        <w:autoSpaceDE/>
        <w:autoSpaceDN/>
        <w:bidi w:val="0"/>
        <w:spacing w:before="156" w:line="360" w:lineRule="auto"/>
        <w:ind w:firstLine="482" w:firstLineChars="200"/>
        <w:textAlignment w:val="auto"/>
        <w:rPr>
          <w:sz w:val="24"/>
          <w:szCs w:val="24"/>
        </w:rPr>
      </w:pPr>
      <w:r>
        <w:rPr>
          <w:sz w:val="24"/>
          <w:szCs w:val="24"/>
        </w:rPr>
        <w:t xml:space="preserve">2. </w:t>
      </w:r>
      <w:r>
        <w:rPr>
          <w:rFonts w:hint="eastAsia"/>
          <w:sz w:val="24"/>
          <w:szCs w:val="24"/>
        </w:rPr>
        <w:t>项目概况与招标范围</w:t>
      </w:r>
    </w:p>
    <w:p w14:paraId="4CEEF9A6">
      <w:pPr>
        <w:pStyle w:val="24"/>
        <w:keepNext w:val="0"/>
        <w:keepLines w:val="0"/>
        <w:pageBreakBefore w:val="0"/>
        <w:widowControl w:val="0"/>
        <w:wordWrap/>
        <w:topLinePunct w:val="0"/>
        <w:autoSpaceDE/>
        <w:autoSpaceDN/>
        <w:bidi w:val="0"/>
        <w:spacing w:line="360" w:lineRule="auto"/>
        <w:ind w:firstLine="480" w:firstLineChars="200"/>
        <w:textAlignment w:val="auto"/>
      </w:pPr>
      <w:r>
        <w:rPr>
          <w:rFonts w:hint="eastAsia"/>
        </w:rPr>
        <w:t>2</w:t>
      </w:r>
      <w:r>
        <w:t>.</w:t>
      </w:r>
      <w:r>
        <w:rPr>
          <w:rFonts w:hint="eastAsia"/>
        </w:rPr>
        <w:t>1 招标项目概况</w:t>
      </w:r>
    </w:p>
    <w:p w14:paraId="6A079828">
      <w:pPr>
        <w:pStyle w:val="24"/>
        <w:keepNext w:val="0"/>
        <w:keepLines w:val="0"/>
        <w:pageBreakBefore w:val="0"/>
        <w:widowControl w:val="0"/>
        <w:wordWrap/>
        <w:topLinePunct w:val="0"/>
        <w:autoSpaceDE/>
        <w:autoSpaceDN/>
        <w:bidi w:val="0"/>
        <w:spacing w:line="360" w:lineRule="auto"/>
        <w:ind w:firstLine="480" w:firstLineChars="200"/>
        <w:textAlignment w:val="auto"/>
        <w:rPr>
          <w:rFonts w:hint="eastAsia"/>
          <w:sz w:val="24"/>
          <w:szCs w:val="24"/>
          <w:u w:val="single"/>
          <w:lang w:eastAsia="zh-CN"/>
        </w:rPr>
      </w:pPr>
      <w:r>
        <w:rPr>
          <w:rFonts w:hint="eastAsia"/>
          <w:kern w:val="2"/>
          <w:sz w:val="24"/>
          <w:szCs w:val="24"/>
        </w:rPr>
        <w:t>招标项目名称：</w:t>
      </w:r>
      <w:r>
        <w:rPr>
          <w:rFonts w:hint="eastAsia"/>
          <w:sz w:val="24"/>
          <w:szCs w:val="24"/>
          <w:u w:val="single"/>
          <w:lang w:eastAsia="zh-CN"/>
        </w:rPr>
        <w:t>2025年花都区森林质量优化提升工程施工监理</w:t>
      </w:r>
    </w:p>
    <w:p w14:paraId="321B912B">
      <w:pPr>
        <w:pStyle w:val="24"/>
        <w:spacing w:line="360" w:lineRule="auto"/>
        <w:ind w:firstLine="480"/>
        <w:rPr>
          <w:rFonts w:hint="default"/>
          <w:kern w:val="2"/>
          <w:sz w:val="24"/>
          <w:szCs w:val="24"/>
          <w:lang w:val="en-US" w:eastAsia="zh-CN"/>
        </w:rPr>
      </w:pPr>
      <w:r>
        <w:rPr>
          <w:rFonts w:hint="eastAsia" w:ascii="宋体" w:hAnsi="宋体" w:eastAsia="宋体" w:cs="Times New Roman"/>
          <w:kern w:val="2"/>
          <w:sz w:val="24"/>
          <w:szCs w:val="24"/>
          <w:lang w:val="en-US" w:eastAsia="zh-CN" w:bidi="ar-SA"/>
        </w:rPr>
        <w:t>项目代码</w:t>
      </w:r>
      <w:r>
        <w:rPr>
          <w:rFonts w:hint="eastAsia"/>
          <w:kern w:val="2"/>
          <w:sz w:val="24"/>
          <w:szCs w:val="24"/>
          <w:lang w:val="en-US" w:eastAsia="zh-CN"/>
        </w:rPr>
        <w:t>：</w:t>
      </w:r>
      <w:r>
        <w:rPr>
          <w:rFonts w:hint="eastAsia"/>
          <w:kern w:val="2"/>
          <w:sz w:val="24"/>
          <w:szCs w:val="24"/>
          <w:u w:val="single"/>
          <w:lang w:val="en-US" w:eastAsia="zh-CN"/>
        </w:rPr>
        <w:t>2409-440114-64-05-404264</w:t>
      </w:r>
    </w:p>
    <w:p w14:paraId="1BB57972">
      <w:pPr>
        <w:pStyle w:val="24"/>
        <w:keepNext w:val="0"/>
        <w:keepLines w:val="0"/>
        <w:pageBreakBefore w:val="0"/>
        <w:widowControl w:val="0"/>
        <w:wordWrap/>
        <w:topLinePunct w:val="0"/>
        <w:autoSpaceDE/>
        <w:autoSpaceDN/>
        <w:bidi w:val="0"/>
        <w:spacing w:line="360" w:lineRule="auto"/>
        <w:ind w:firstLine="480" w:firstLineChars="200"/>
        <w:textAlignment w:val="auto"/>
        <w:rPr>
          <w:rFonts w:hint="eastAsia" w:eastAsia="宋体" w:cs="宋体"/>
          <w:sz w:val="24"/>
          <w:szCs w:val="24"/>
          <w:u w:val="single"/>
          <w:lang w:eastAsia="zh-CN"/>
        </w:rPr>
      </w:pPr>
      <w:r>
        <w:rPr>
          <w:rFonts w:hint="eastAsia"/>
          <w:sz w:val="24"/>
          <w:szCs w:val="24"/>
        </w:rPr>
        <w:t>工程建设地点：</w:t>
      </w:r>
      <w:r>
        <w:rPr>
          <w:rFonts w:hint="eastAsia" w:ascii="宋体" w:hAnsi="宋体" w:eastAsia="宋体"/>
          <w:sz w:val="24"/>
          <w:szCs w:val="24"/>
          <w:u w:val="single"/>
        </w:rPr>
        <w:t>广州市花都区</w:t>
      </w:r>
    </w:p>
    <w:p w14:paraId="358FF618">
      <w:pPr>
        <w:keepNext w:val="0"/>
        <w:keepLines w:val="0"/>
        <w:pageBreakBefore w:val="0"/>
        <w:widowControl w:val="0"/>
        <w:wordWrap/>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kern w:val="0"/>
          <w:sz w:val="24"/>
          <w:szCs w:val="24"/>
        </w:rPr>
        <w:t>工程建设规模：</w:t>
      </w:r>
      <w:r>
        <w:rPr>
          <w:rFonts w:hint="eastAsia" w:ascii="宋体" w:hAnsi="宋体" w:eastAsia="宋体" w:cs="Times New Roman"/>
          <w:sz w:val="24"/>
          <w:szCs w:val="24"/>
          <w:highlight w:val="none"/>
          <w:u w:val="single"/>
        </w:rPr>
        <w:t>2025年森林质量优化提升总任务为5.</w:t>
      </w:r>
      <w:r>
        <w:rPr>
          <w:rFonts w:hint="eastAsia" w:ascii="宋体" w:hAnsi="宋体" w:cs="Times New Roman"/>
          <w:sz w:val="24"/>
          <w:szCs w:val="24"/>
          <w:highlight w:val="none"/>
          <w:u w:val="single"/>
          <w:lang w:val="en-US" w:eastAsia="zh-CN"/>
        </w:rPr>
        <w:t>25</w:t>
      </w:r>
      <w:r>
        <w:rPr>
          <w:rFonts w:hint="eastAsia" w:ascii="宋体" w:hAnsi="宋体" w:eastAsia="宋体" w:cs="Times New Roman"/>
          <w:sz w:val="24"/>
          <w:szCs w:val="24"/>
          <w:highlight w:val="none"/>
          <w:u w:val="single"/>
        </w:rPr>
        <w:t>万亩，其中包括针叶林改造3.56万亩、桉树林改造0.2万亩、残次林改造0.14万亩、中幼林抚育0.35万亩、大径材森林培育0.33万亩、建设多彩森林0.2万亩、山地造林0.074万亩、建设防护林0.036万亩、建设第一重山景观林0.2万亩、封山育林0.15万亩。计划在全区范围内实施5.</w:t>
      </w:r>
      <w:r>
        <w:rPr>
          <w:rFonts w:hint="eastAsia" w:ascii="宋体" w:hAnsi="宋体" w:cs="Times New Roman"/>
          <w:sz w:val="24"/>
          <w:szCs w:val="24"/>
          <w:highlight w:val="none"/>
          <w:u w:val="single"/>
          <w:lang w:val="en-US" w:eastAsia="zh-CN"/>
        </w:rPr>
        <w:t>25</w:t>
      </w:r>
      <w:r>
        <w:rPr>
          <w:rFonts w:hint="eastAsia" w:ascii="宋体" w:hAnsi="宋体" w:eastAsia="宋体" w:cs="Times New Roman"/>
          <w:sz w:val="24"/>
          <w:szCs w:val="24"/>
          <w:highlight w:val="none"/>
          <w:u w:val="single"/>
        </w:rPr>
        <w:t>万亩森林质量优化提升，建设以乡土阔叶树种和珍贵树种为主的混交林，打造原生复层多彩森林，加强退化林修复和大径级森林培育，持续优化林分结构，构建高质量、健康稳定的森林系统。</w:t>
      </w:r>
    </w:p>
    <w:p w14:paraId="1E06F77E">
      <w:pPr>
        <w:pStyle w:val="24"/>
        <w:keepNext w:val="0"/>
        <w:keepLines w:val="0"/>
        <w:pageBreakBefore w:val="0"/>
        <w:widowControl w:val="0"/>
        <w:wordWrap/>
        <w:topLinePunct w:val="0"/>
        <w:autoSpaceDE/>
        <w:autoSpaceDN/>
        <w:bidi w:val="0"/>
        <w:spacing w:line="360" w:lineRule="auto"/>
        <w:ind w:firstLine="480" w:firstLineChars="200"/>
        <w:textAlignment w:val="auto"/>
        <w:rPr>
          <w:sz w:val="24"/>
          <w:szCs w:val="24"/>
          <w:highlight w:val="none"/>
          <w:u w:val="single"/>
        </w:rPr>
      </w:pPr>
      <w:r>
        <w:rPr>
          <w:rFonts w:hint="eastAsia" w:ascii="宋体" w:hAnsi="宋体" w:cs="宋体"/>
          <w:sz w:val="24"/>
          <w:highlight w:val="none"/>
          <w:u w:val="single"/>
          <w:lang w:val="en-US" w:eastAsia="zh-CN"/>
        </w:rPr>
        <w:t>项目总投资为</w:t>
      </w:r>
      <w:r>
        <w:rPr>
          <w:rFonts w:hint="eastAsia" w:cs="宋体"/>
          <w:sz w:val="24"/>
          <w:highlight w:val="none"/>
          <w:u w:val="single"/>
          <w:lang w:val="en-US" w:eastAsia="zh-CN"/>
        </w:rPr>
        <w:t>25830.00</w:t>
      </w:r>
      <w:r>
        <w:rPr>
          <w:rFonts w:hint="eastAsia" w:ascii="宋体" w:hAnsi="宋体" w:cs="宋体"/>
          <w:sz w:val="24"/>
          <w:highlight w:val="none"/>
          <w:u w:val="single"/>
          <w:lang w:val="en-US" w:eastAsia="zh-CN"/>
        </w:rPr>
        <w:t>万元</w:t>
      </w:r>
      <w:r>
        <w:rPr>
          <w:rFonts w:hint="eastAsia" w:cs="宋体"/>
          <w:sz w:val="24"/>
          <w:highlight w:val="none"/>
          <w:u w:val="single"/>
          <w:lang w:val="en-US" w:eastAsia="zh-CN"/>
        </w:rPr>
        <w:t>，</w:t>
      </w:r>
      <w:r>
        <w:rPr>
          <w:rFonts w:hint="eastAsia"/>
          <w:sz w:val="24"/>
          <w:szCs w:val="24"/>
          <w:highlight w:val="none"/>
          <w:u w:val="single"/>
        </w:rPr>
        <w:t>项目</w:t>
      </w:r>
      <w:r>
        <w:rPr>
          <w:sz w:val="24"/>
          <w:szCs w:val="24"/>
          <w:highlight w:val="none"/>
          <w:u w:val="single"/>
        </w:rPr>
        <w:t>建安工程费</w:t>
      </w:r>
      <w:r>
        <w:rPr>
          <w:rFonts w:hint="eastAsia"/>
          <w:sz w:val="24"/>
          <w:szCs w:val="24"/>
          <w:highlight w:val="none"/>
          <w:u w:val="single"/>
        </w:rPr>
        <w:t>约</w:t>
      </w:r>
      <w:r>
        <w:rPr>
          <w:rFonts w:hint="eastAsia" w:ascii="宋体" w:hAnsi="宋体" w:eastAsia="宋体" w:cs="宋体"/>
          <w:color w:val="333333"/>
          <w:sz w:val="24"/>
          <w:highlight w:val="none"/>
          <w:u w:val="single"/>
          <w:lang w:bidi="ar"/>
        </w:rPr>
        <w:t>21642</w:t>
      </w:r>
      <w:r>
        <w:rPr>
          <w:rFonts w:hint="eastAsia" w:ascii="宋体" w:hAnsi="宋体" w:eastAsia="宋体" w:cs="宋体"/>
          <w:color w:val="333333"/>
          <w:sz w:val="24"/>
          <w:highlight w:val="none"/>
          <w:u w:val="single"/>
          <w:lang w:val="en-US" w:eastAsia="zh-CN" w:bidi="ar"/>
        </w:rPr>
        <w:t>.</w:t>
      </w:r>
      <w:r>
        <w:rPr>
          <w:rFonts w:hint="eastAsia" w:ascii="宋体" w:hAnsi="宋体" w:eastAsia="宋体" w:cs="宋体"/>
          <w:color w:val="333333"/>
          <w:sz w:val="24"/>
          <w:highlight w:val="none"/>
          <w:u w:val="single"/>
          <w:lang w:bidi="ar"/>
        </w:rPr>
        <w:t>092502</w:t>
      </w:r>
      <w:r>
        <w:rPr>
          <w:rFonts w:hint="eastAsia" w:ascii="宋体" w:hAnsi="宋体" w:eastAsia="宋体" w:cs="宋体"/>
          <w:sz w:val="24"/>
          <w:szCs w:val="24"/>
          <w:highlight w:val="none"/>
          <w:u w:val="single"/>
        </w:rPr>
        <w:t>万</w:t>
      </w:r>
      <w:r>
        <w:rPr>
          <w:sz w:val="24"/>
          <w:szCs w:val="24"/>
          <w:highlight w:val="none"/>
          <w:u w:val="single"/>
        </w:rPr>
        <w:t>元。</w:t>
      </w:r>
    </w:p>
    <w:p w14:paraId="54BDBAAC">
      <w:pPr>
        <w:pStyle w:val="24"/>
        <w:keepNext w:val="0"/>
        <w:keepLines w:val="0"/>
        <w:pageBreakBefore w:val="0"/>
        <w:widowControl w:val="0"/>
        <w:wordWrap/>
        <w:topLinePunct w:val="0"/>
        <w:autoSpaceDE/>
        <w:autoSpaceDN/>
        <w:bidi w:val="0"/>
        <w:spacing w:line="360" w:lineRule="auto"/>
        <w:ind w:firstLine="480" w:firstLineChars="200"/>
        <w:textAlignment w:val="auto"/>
        <w:rPr>
          <w:sz w:val="24"/>
          <w:szCs w:val="24"/>
        </w:rPr>
      </w:pPr>
      <w:r>
        <w:rPr>
          <w:rFonts w:hint="eastAsia"/>
          <w:sz w:val="24"/>
          <w:szCs w:val="24"/>
        </w:rPr>
        <w:t>2</w:t>
      </w:r>
      <w:r>
        <w:rPr>
          <w:sz w:val="24"/>
          <w:szCs w:val="24"/>
        </w:rPr>
        <w:t>.</w:t>
      </w:r>
      <w:r>
        <w:rPr>
          <w:rFonts w:hint="eastAsia"/>
          <w:sz w:val="24"/>
          <w:szCs w:val="24"/>
        </w:rPr>
        <w:t>2招标范围</w:t>
      </w:r>
    </w:p>
    <w:p w14:paraId="6D8C9961">
      <w:pPr>
        <w:pStyle w:val="24"/>
        <w:keepNext w:val="0"/>
        <w:keepLines w:val="0"/>
        <w:pageBreakBefore w:val="0"/>
        <w:widowControl w:val="0"/>
        <w:wordWrap/>
        <w:topLinePunct w:val="0"/>
        <w:autoSpaceDE/>
        <w:autoSpaceDN/>
        <w:bidi w:val="0"/>
        <w:spacing w:line="360" w:lineRule="auto"/>
        <w:ind w:firstLine="480" w:firstLineChars="200"/>
        <w:textAlignment w:val="auto"/>
        <w:rPr>
          <w:sz w:val="24"/>
          <w:szCs w:val="24"/>
          <w:u w:val="single"/>
        </w:rPr>
      </w:pPr>
      <w:r>
        <w:rPr>
          <w:rFonts w:hint="eastAsia"/>
          <w:sz w:val="24"/>
          <w:szCs w:val="24"/>
        </w:rPr>
        <w:t>2.2.1监理标段划分：</w:t>
      </w:r>
      <w:r>
        <w:rPr>
          <w:rFonts w:hint="eastAsia"/>
          <w:sz w:val="24"/>
          <w:szCs w:val="24"/>
          <w:u w:val="single"/>
        </w:rPr>
        <w:t>共设1个标段。</w:t>
      </w:r>
    </w:p>
    <w:p w14:paraId="70E0EBF5">
      <w:pPr>
        <w:wordWrap w:val="0"/>
        <w:topLinePunct/>
        <w:spacing w:after="156" w:afterLines="50" w:line="360" w:lineRule="auto"/>
        <w:ind w:firstLine="472" w:firstLineChars="197"/>
        <w:rPr>
          <w:rFonts w:hint="eastAsia" w:ascii="宋体" w:hAnsi="宋体" w:cs="Times New Roman"/>
          <w:sz w:val="24"/>
          <w:szCs w:val="21"/>
          <w:highlight w:val="none"/>
          <w:u w:val="single"/>
        </w:rPr>
      </w:pPr>
      <w:r>
        <w:rPr>
          <w:rFonts w:hint="eastAsia" w:ascii="宋体" w:hAnsi="宋体" w:eastAsia="宋体" w:cs="宋体"/>
          <w:color w:val="auto"/>
          <w:kern w:val="2"/>
          <w:sz w:val="24"/>
          <w:szCs w:val="24"/>
          <w:u w:val="single"/>
        </w:rPr>
        <w:t>2.2.2监理范围：</w:t>
      </w:r>
      <w:r>
        <w:rPr>
          <w:rFonts w:hint="eastAsia" w:ascii="宋体" w:hAnsi="宋体" w:cs="Times New Roman"/>
          <w:sz w:val="24"/>
          <w:szCs w:val="21"/>
          <w:highlight w:val="none"/>
          <w:u w:val="single"/>
          <w:lang w:eastAsia="zh-CN"/>
        </w:rPr>
        <w:t>（</w:t>
      </w:r>
      <w:r>
        <w:rPr>
          <w:rFonts w:hint="eastAsia" w:ascii="宋体" w:hAnsi="宋体" w:cs="Times New Roman"/>
          <w:sz w:val="24"/>
          <w:szCs w:val="21"/>
          <w:highlight w:val="none"/>
          <w:u w:val="single"/>
          <w:lang w:val="en-US" w:eastAsia="zh-CN"/>
        </w:rPr>
        <w:t>1</w:t>
      </w:r>
      <w:r>
        <w:rPr>
          <w:rFonts w:hint="eastAsia" w:ascii="宋体" w:hAnsi="宋体" w:cs="Times New Roman"/>
          <w:sz w:val="24"/>
          <w:szCs w:val="21"/>
          <w:highlight w:val="none"/>
          <w:u w:val="single"/>
          <w:lang w:eastAsia="zh-CN"/>
        </w:rPr>
        <w:t>）</w:t>
      </w:r>
      <w:r>
        <w:rPr>
          <w:rFonts w:hint="eastAsia" w:ascii="宋体" w:hAnsi="宋体" w:cs="Times New Roman"/>
          <w:sz w:val="24"/>
          <w:szCs w:val="21"/>
          <w:highlight w:val="none"/>
          <w:u w:val="single"/>
          <w:lang w:val="en-US" w:eastAsia="zh-CN"/>
        </w:rPr>
        <w:t>完成本项目的</w:t>
      </w:r>
      <w:r>
        <w:rPr>
          <w:rFonts w:hint="eastAsia" w:ascii="宋体" w:hAnsi="宋体" w:cs="Times New Roman"/>
          <w:sz w:val="24"/>
          <w:szCs w:val="21"/>
          <w:highlight w:val="none"/>
          <w:u w:val="single"/>
        </w:rPr>
        <w:t>前期准备阶段、施工准备阶段、施工阶段、竣工阶段、保修阶段等全部监理服务工作；包括但不限于质量控制、投资控制、进度控制、组织协调、安全文明；监督、管理建设工程合同的履行，协调</w:t>
      </w:r>
      <w:r>
        <w:rPr>
          <w:rFonts w:hint="eastAsia" w:ascii="宋体" w:hAnsi="宋体" w:cs="Times New Roman"/>
          <w:sz w:val="24"/>
          <w:szCs w:val="21"/>
          <w:highlight w:val="none"/>
          <w:u w:val="single"/>
          <w:lang w:val="en-US" w:eastAsia="zh-CN"/>
        </w:rPr>
        <w:t>招标人</w:t>
      </w:r>
      <w:r>
        <w:rPr>
          <w:rFonts w:hint="eastAsia" w:ascii="宋体" w:hAnsi="宋体" w:cs="Times New Roman"/>
          <w:sz w:val="24"/>
          <w:szCs w:val="21"/>
          <w:highlight w:val="none"/>
          <w:u w:val="single"/>
        </w:rPr>
        <w:t>和工程建设有关各方的工作关系，以及配合项目移交等监理工作。</w:t>
      </w:r>
    </w:p>
    <w:p w14:paraId="24077494">
      <w:pPr>
        <w:wordWrap w:val="0"/>
        <w:topLinePunct/>
        <w:spacing w:after="156" w:afterLines="50" w:line="360" w:lineRule="auto"/>
        <w:ind w:firstLine="472" w:firstLineChars="197"/>
        <w:rPr>
          <w:rFonts w:hint="eastAsia" w:ascii="宋体" w:hAnsi="宋体" w:cs="Times New Roman"/>
          <w:sz w:val="24"/>
          <w:szCs w:val="21"/>
          <w:highlight w:val="none"/>
          <w:u w:val="single"/>
        </w:rPr>
      </w:pPr>
      <w:r>
        <w:rPr>
          <w:rFonts w:hint="eastAsia" w:ascii="宋体" w:hAnsi="宋体" w:cs="Times New Roman"/>
          <w:sz w:val="24"/>
          <w:szCs w:val="21"/>
          <w:highlight w:val="none"/>
          <w:u w:val="single"/>
          <w:lang w:eastAsia="zh-CN"/>
        </w:rPr>
        <w:t>（</w:t>
      </w:r>
      <w:r>
        <w:rPr>
          <w:rFonts w:hint="eastAsia" w:ascii="宋体" w:hAnsi="宋体" w:cs="Times New Roman"/>
          <w:sz w:val="24"/>
          <w:szCs w:val="21"/>
          <w:highlight w:val="none"/>
          <w:u w:val="single"/>
          <w:lang w:val="en-US" w:eastAsia="zh-CN"/>
        </w:rPr>
        <w:t>2</w:t>
      </w:r>
      <w:r>
        <w:rPr>
          <w:rFonts w:hint="eastAsia" w:ascii="宋体" w:hAnsi="宋体" w:cs="Times New Roman"/>
          <w:sz w:val="24"/>
          <w:szCs w:val="21"/>
          <w:highlight w:val="none"/>
          <w:u w:val="single"/>
          <w:lang w:eastAsia="zh-CN"/>
        </w:rPr>
        <w:t>）</w:t>
      </w:r>
      <w:r>
        <w:rPr>
          <w:rFonts w:hint="eastAsia" w:ascii="宋体" w:hAnsi="宋体" w:cs="Times New Roman"/>
          <w:sz w:val="24"/>
          <w:szCs w:val="21"/>
          <w:highlight w:val="none"/>
          <w:u w:val="single"/>
        </w:rPr>
        <w:t>除上述工作范围外，监理人还须按</w:t>
      </w:r>
      <w:r>
        <w:rPr>
          <w:rFonts w:hint="eastAsia" w:ascii="宋体" w:hAnsi="宋体" w:cs="Times New Roman"/>
          <w:sz w:val="24"/>
          <w:szCs w:val="21"/>
          <w:highlight w:val="none"/>
          <w:u w:val="single"/>
          <w:lang w:val="en-US" w:eastAsia="zh-CN"/>
        </w:rPr>
        <w:t>招标人</w:t>
      </w:r>
      <w:r>
        <w:rPr>
          <w:rFonts w:hint="eastAsia" w:ascii="宋体" w:hAnsi="宋体" w:cs="Times New Roman"/>
          <w:sz w:val="24"/>
          <w:szCs w:val="21"/>
          <w:highlight w:val="none"/>
          <w:u w:val="single"/>
        </w:rPr>
        <w:t>的要求提前进场参与开工前期的准备和筹划工作，协助</w:t>
      </w:r>
      <w:r>
        <w:rPr>
          <w:rFonts w:hint="eastAsia" w:ascii="宋体" w:hAnsi="宋体" w:cs="Times New Roman"/>
          <w:sz w:val="24"/>
          <w:szCs w:val="21"/>
          <w:highlight w:val="none"/>
          <w:u w:val="single"/>
          <w:lang w:val="en-US" w:eastAsia="zh-CN"/>
        </w:rPr>
        <w:t>招标人</w:t>
      </w:r>
      <w:r>
        <w:rPr>
          <w:rFonts w:hint="eastAsia" w:ascii="宋体" w:hAnsi="宋体" w:cs="Times New Roman"/>
          <w:sz w:val="24"/>
          <w:szCs w:val="21"/>
          <w:highlight w:val="none"/>
          <w:u w:val="single"/>
        </w:rPr>
        <w:t>制定工程管理办法、各参建方职责及有关事务性工作等。</w:t>
      </w:r>
    </w:p>
    <w:p w14:paraId="06AC4550">
      <w:pPr>
        <w:pStyle w:val="24"/>
        <w:keepNext w:val="0"/>
        <w:keepLines w:val="0"/>
        <w:pageBreakBefore w:val="0"/>
        <w:widowControl w:val="0"/>
        <w:wordWrap/>
        <w:topLinePunct w:val="0"/>
        <w:autoSpaceDE/>
        <w:autoSpaceDN/>
        <w:bidi w:val="0"/>
        <w:spacing w:line="360" w:lineRule="auto"/>
        <w:ind w:firstLine="480" w:firstLineChars="200"/>
        <w:textAlignment w:val="auto"/>
        <w:rPr>
          <w:rFonts w:hint="eastAsia" w:ascii="宋体" w:hAnsi="宋体" w:cs="宋体"/>
          <w:sz w:val="24"/>
          <w:szCs w:val="24"/>
          <w:highlight w:val="none"/>
        </w:rPr>
      </w:pPr>
      <w:r>
        <w:rPr>
          <w:rFonts w:hint="eastAsia"/>
          <w:sz w:val="24"/>
          <w:szCs w:val="24"/>
          <w:highlight w:val="none"/>
        </w:rPr>
        <w:t>2.2.3监</w:t>
      </w:r>
      <w:r>
        <w:rPr>
          <w:rFonts w:hint="eastAsia" w:ascii="宋体" w:hAnsi="宋体" w:cs="宋体"/>
          <w:sz w:val="24"/>
          <w:szCs w:val="24"/>
          <w:highlight w:val="none"/>
        </w:rPr>
        <w:t>理服务期：</w:t>
      </w:r>
    </w:p>
    <w:p w14:paraId="7F7166EE">
      <w:pPr>
        <w:wordWrap w:val="0"/>
        <w:topLinePunct/>
        <w:spacing w:after="156" w:afterLines="50" w:line="360" w:lineRule="auto"/>
        <w:ind w:firstLine="472" w:firstLineChars="197"/>
        <w:rPr>
          <w:rFonts w:hint="eastAsia" w:ascii="宋体" w:hAnsi="宋体" w:cs="Times New Roman"/>
          <w:sz w:val="24"/>
          <w:szCs w:val="21"/>
          <w:highlight w:val="none"/>
          <w:u w:val="single"/>
        </w:rPr>
      </w:pPr>
      <w:r>
        <w:rPr>
          <w:rFonts w:hint="eastAsia" w:ascii="宋体" w:hAnsi="宋体" w:cs="Times New Roman"/>
          <w:sz w:val="24"/>
          <w:szCs w:val="21"/>
          <w:highlight w:val="none"/>
          <w:u w:val="single"/>
        </w:rPr>
        <w:t>监理服务期自监理人收到中标通知书或参加由</w:t>
      </w:r>
      <w:r>
        <w:rPr>
          <w:rFonts w:hint="eastAsia" w:ascii="宋体" w:hAnsi="宋体" w:cs="Times New Roman"/>
          <w:sz w:val="24"/>
          <w:szCs w:val="21"/>
          <w:highlight w:val="none"/>
          <w:u w:val="single"/>
          <w:lang w:val="en-US" w:eastAsia="zh-CN"/>
        </w:rPr>
        <w:t>招标人</w:t>
      </w:r>
      <w:r>
        <w:rPr>
          <w:rFonts w:hint="eastAsia" w:ascii="宋体" w:hAnsi="宋体" w:cs="Times New Roman"/>
          <w:sz w:val="24"/>
          <w:szCs w:val="21"/>
          <w:highlight w:val="none"/>
          <w:u w:val="single"/>
        </w:rPr>
        <w:t>组织的第一次进场动员会之日起算，至本项目建安工程保修期结束且本合同工程结算金额经政府结算终审部门审定之日止。监理服务期包括项目的前期准备阶段、施工准备阶段、施工阶段、工程收尾阶段和质量保修阶段，监理人须实行全过程监理服务。</w:t>
      </w:r>
    </w:p>
    <w:p w14:paraId="773F9D0D">
      <w:pPr>
        <w:pStyle w:val="24"/>
        <w:keepNext w:val="0"/>
        <w:keepLines w:val="0"/>
        <w:pageBreakBefore w:val="0"/>
        <w:widowControl w:val="0"/>
        <w:wordWrap/>
        <w:topLinePunct w:val="0"/>
        <w:autoSpaceDE/>
        <w:autoSpaceDN/>
        <w:bidi w:val="0"/>
        <w:spacing w:line="360" w:lineRule="auto"/>
        <w:ind w:firstLine="480" w:firstLineChars="200"/>
        <w:textAlignment w:val="auto"/>
        <w:rPr>
          <w:highlight w:val="none"/>
          <w:u w:val="single"/>
        </w:rPr>
      </w:pPr>
      <w:r>
        <w:rPr>
          <w:rFonts w:hint="eastAsia"/>
          <w:highlight w:val="none"/>
        </w:rPr>
        <w:t>2.2.4监理服务最高投标限价：</w:t>
      </w:r>
      <w:r>
        <w:rPr>
          <w:rFonts w:hint="eastAsia" w:cs="Times New Roman"/>
          <w:highlight w:val="none"/>
          <w:u w:val="single"/>
          <w:lang w:val="en-US" w:eastAsia="zh-CN"/>
        </w:rPr>
        <w:t>339.612679</w:t>
      </w:r>
      <w:r>
        <w:rPr>
          <w:rFonts w:hint="eastAsia"/>
          <w:highlight w:val="none"/>
        </w:rPr>
        <w:t>万元</w:t>
      </w:r>
    </w:p>
    <w:p w14:paraId="7BE76A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投标人资格要求</w:t>
      </w:r>
    </w:p>
    <w:p w14:paraId="1C699C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3.1投标人须具备工程监理综合资质或市政公用工程监理甲级资质或造林绿化监理丙级（或以上）资质（证书须在有效期内）。</w:t>
      </w:r>
    </w:p>
    <w:p w14:paraId="3211E0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①</w:t>
      </w:r>
      <w:r>
        <w:rPr>
          <w:rFonts w:hint="eastAsia" w:ascii="宋体" w:hAnsi="宋体" w:eastAsia="宋体" w:cs="宋体"/>
          <w:sz w:val="24"/>
          <w:szCs w:val="24"/>
        </w:rPr>
        <w:t>香港企业参加投标的，须在广东省住房和城乡建设主管部门备案且备案的业务范围应符合本招标项目对工程监理资质的要求。</w:t>
      </w:r>
    </w:p>
    <w:p w14:paraId="5D26D5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香港企业投标的依据《广东省住房和城乡建设厅关于印发香港工程建设咨询企业和专业人士在粤港澳大湾区内地城市开业执业试点管理暂行办法的通知》（粤建规范〔2020〕1号）确定。</w:t>
      </w:r>
    </w:p>
    <w:p w14:paraId="68A66C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工程监理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等相关规定执行。招标期间如行政主管部门对建设工程企业资质有效期发布新规定的，按新规定相应调整执行。</w:t>
      </w:r>
    </w:p>
    <w:p w14:paraId="1B12DF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本次招标不接受联合体投标。</w:t>
      </w:r>
    </w:p>
    <w:p w14:paraId="03FE4D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拟派总监理工程师须具备以下①或②要求：</w:t>
      </w:r>
    </w:p>
    <w:p w14:paraId="1F99B0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szCs w:val="24"/>
        </w:rPr>
        <w:t>具有建设部2006年4月1日后颁发的中华人民共和国注册监理工程师注册执业证书，且其注册证书专业为市政公用工程，注册执业单位为本公司（若投标人以工程监理综合资质或市政公用工程监理甲级资质参与投标时提供）。</w:t>
      </w:r>
    </w:p>
    <w:p w14:paraId="01FFBB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w:t>
      </w:r>
      <w:r>
        <w:rPr>
          <w:rFonts w:hint="eastAsia" w:ascii="宋体" w:hAnsi="宋体" w:eastAsia="宋体" w:cs="宋体"/>
          <w:sz w:val="24"/>
          <w:szCs w:val="24"/>
        </w:rPr>
        <w:t>具有林业（或园林）相关专业中级（或以上）技术职称（若投标人以造林绿化监理丙级（或以上）资质参与投标时提供）。</w:t>
      </w:r>
    </w:p>
    <w:p w14:paraId="607ACF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[注：香港专业人士</w:t>
      </w:r>
      <w:r>
        <w:rPr>
          <w:rFonts w:hint="eastAsia" w:ascii="宋体" w:hAnsi="宋体" w:eastAsia="宋体" w:cs="宋体"/>
          <w:sz w:val="24"/>
          <w:szCs w:val="24"/>
          <w:lang w:val="en-US" w:eastAsia="zh-CN"/>
        </w:rPr>
        <w:t>需</w:t>
      </w:r>
      <w:r>
        <w:rPr>
          <w:rFonts w:hint="eastAsia" w:ascii="宋体" w:hAnsi="宋体" w:eastAsia="宋体" w:cs="宋体"/>
          <w:sz w:val="24"/>
          <w:szCs w:val="24"/>
        </w:rPr>
        <w:t>在广东省住房和城乡建设主管部门备案且备案的资格满足本项目总监理工程师的资格要求。（依据《广东省住房和城乡建设厅关于印发香港工程建设咨询企业和专业人士在粤港澳大湾区内地城市开业执业试点管理暂行办法的通知》（粤建规范</w:t>
      </w:r>
      <w:r>
        <w:rPr>
          <w:rFonts w:hint="eastAsia" w:ascii="宋体" w:hAnsi="宋体" w:eastAsia="宋体" w:cs="宋体"/>
          <w:sz w:val="24"/>
          <w:szCs w:val="24"/>
          <w:lang w:val="en-US" w:eastAsia="zh-CN"/>
        </w:rPr>
        <w:t>〔</w:t>
      </w:r>
      <w:r>
        <w:rPr>
          <w:rFonts w:hint="eastAsia" w:ascii="宋体" w:hAnsi="宋体" w:eastAsia="宋体" w:cs="宋体"/>
          <w:sz w:val="24"/>
          <w:szCs w:val="24"/>
        </w:rPr>
        <w:t>2020</w:t>
      </w:r>
      <w:r>
        <w:rPr>
          <w:rFonts w:hint="eastAsia" w:ascii="宋体" w:hAnsi="宋体" w:eastAsia="宋体" w:cs="宋体"/>
          <w:sz w:val="24"/>
          <w:szCs w:val="24"/>
          <w:lang w:val="en-US" w:eastAsia="zh-CN"/>
        </w:rPr>
        <w:t>〕</w:t>
      </w:r>
      <w:r>
        <w:rPr>
          <w:rFonts w:hint="eastAsia" w:ascii="宋体" w:hAnsi="宋体" w:eastAsia="宋体" w:cs="宋体"/>
          <w:sz w:val="24"/>
          <w:szCs w:val="24"/>
        </w:rPr>
        <w:t>1号）规定）]</w:t>
      </w:r>
    </w:p>
    <w:p w14:paraId="3A411B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其他要求：</w:t>
      </w:r>
    </w:p>
    <w:p w14:paraId="453F80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（1）投标人参加投标的意思表达清楚，投标人代表被授权有效。</w:t>
      </w:r>
    </w:p>
    <w:p w14:paraId="377730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（2）投标人均具有独立法人资格，持有有效的工商行政管理部门核发的法人营业执照，按国家法律经营。</w:t>
      </w:r>
    </w:p>
    <w:p w14:paraId="28423B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r>
        <w:rPr>
          <w:rFonts w:hint="eastAsia" w:ascii="宋体" w:hAnsi="宋体" w:eastAsia="宋体" w:cs="宋体"/>
          <w:sz w:val="24"/>
          <w:szCs w:val="24"/>
        </w:rPr>
        <w:t>香港企业提供在香港进行商业登记的证明文书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p>
    <w:p w14:paraId="2D59F5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（3）投标人已按规定格式签名盖章《投标人声明》（详见本招标公告附件）。</w:t>
      </w:r>
    </w:p>
    <w:p w14:paraId="3A2726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（4）投标截</w:t>
      </w:r>
      <w:r>
        <w:rPr>
          <w:rFonts w:hint="eastAsia" w:ascii="宋体" w:hAnsi="宋体" w:eastAsia="宋体" w:cs="宋体"/>
          <w:sz w:val="24"/>
          <w:szCs w:val="24"/>
          <w:lang w:val="en-US" w:eastAsia="zh-CN"/>
        </w:rPr>
        <w:t>止时间前，投标人须在广州交易集团有限公司（广州公共资源交易中心）企业库已办理企业信息登记，及拟担任本工程总监理工程师须是本企业在广州交易集团有限公司（广州公共资源交易中心）信息登记中的在册人员。企业信息取自投标截止时间投标人在企业信息库内的信息，投标人无需提交相关资料，若招标人延长递交投标文件截止时间的，企业信息的评审时点也相应延长。</w:t>
      </w:r>
    </w:p>
    <w:p w14:paraId="7CB3ED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投标人未出现以下情形：与其他投标人的单位负责人为同一人或者存在控股、管理关系的（按投标人提供的《投标人声明》内容进行评审）。如不同投标申请人出现单位负责人为同一人或者存在控股、管理关系的情形，则相关投标均无效。</w:t>
      </w:r>
    </w:p>
    <w:p w14:paraId="0BC88F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投标人未被纳入失信联合惩戒名单且被限制参加财政投资工程或政府投资工程或建设工程投标的（具体名单以递交投标文件截止时间“信用广州”https://credit1.gz.gov.cn/sgs/sgsXkNew公布的“失信黑名单”为准）。投标人无需提供资料，按交易系统查询的结果进行评审；</w:t>
      </w:r>
    </w:p>
    <w:p w14:paraId="79D0E1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注：因联合惩戒措施表述存在细微差别，惩戒措施与上文不完全一致但措施内容相同的，也应属于被限制参与相关项目的投标。</w:t>
      </w:r>
    </w:p>
    <w:p w14:paraId="2DD76BE3">
      <w:pPr>
        <w:keepNext w:val="0"/>
        <w:keepLines w:val="0"/>
        <w:pageBreakBefore w:val="0"/>
        <w:wordWrap/>
        <w:topLinePunct w:val="0"/>
        <w:autoSpaceDE/>
        <w:autoSpaceDN/>
        <w:bidi w:val="0"/>
        <w:spacing w:line="360" w:lineRule="auto"/>
        <w:ind w:firstLine="482" w:firstLineChars="200"/>
        <w:rPr>
          <w:rFonts w:ascii="宋体" w:hAnsi="宋体"/>
          <w:b/>
          <w:kern w:val="0"/>
          <w:sz w:val="24"/>
        </w:rPr>
      </w:pPr>
      <w:r>
        <w:rPr>
          <w:rFonts w:hint="eastAsia" w:ascii="宋体" w:hAnsi="宋体"/>
          <w:b/>
          <w:kern w:val="0"/>
          <w:sz w:val="24"/>
        </w:rPr>
        <w:t>注：未在招标公告“3.投标人资格要求”单列的资审合格条件，不作为资审不合格的依据。</w:t>
      </w:r>
    </w:p>
    <w:p w14:paraId="5B5161E4">
      <w:pPr>
        <w:pStyle w:val="23"/>
        <w:keepNext w:val="0"/>
        <w:keepLines w:val="0"/>
        <w:pageBreakBefore w:val="0"/>
        <w:wordWrap/>
        <w:topLinePunct w:val="0"/>
        <w:autoSpaceDE/>
        <w:autoSpaceDN/>
        <w:bidi w:val="0"/>
        <w:spacing w:before="156" w:line="360" w:lineRule="auto"/>
        <w:ind w:firstLine="482" w:firstLineChars="200"/>
        <w:rPr>
          <w:sz w:val="24"/>
          <w:szCs w:val="24"/>
        </w:rPr>
      </w:pPr>
      <w:r>
        <w:rPr>
          <w:sz w:val="24"/>
          <w:szCs w:val="24"/>
        </w:rPr>
        <w:t>4.</w:t>
      </w:r>
      <w:r>
        <w:rPr>
          <w:rFonts w:hint="eastAsia"/>
          <w:sz w:val="24"/>
          <w:szCs w:val="24"/>
        </w:rPr>
        <w:t>招标文件的获取</w:t>
      </w:r>
    </w:p>
    <w:p w14:paraId="32590D65">
      <w:pPr>
        <w:keepNext w:val="0"/>
        <w:keepLines w:val="0"/>
        <w:pageBreakBefore w:val="0"/>
        <w:wordWrap/>
        <w:topLinePunct w:val="0"/>
        <w:autoSpaceDE/>
        <w:autoSpaceDN/>
        <w:bidi w:val="0"/>
        <w:spacing w:line="360" w:lineRule="auto"/>
        <w:ind w:firstLine="480" w:firstLineChars="200"/>
        <w:rPr>
          <w:rFonts w:ascii="宋体" w:hAnsi="宋体"/>
          <w:sz w:val="24"/>
          <w:szCs w:val="24"/>
        </w:rPr>
      </w:pPr>
      <w:r>
        <w:rPr>
          <w:rFonts w:ascii="宋体" w:hAnsi="宋体"/>
          <w:sz w:val="24"/>
          <w:szCs w:val="24"/>
        </w:rPr>
        <w:t>4.1 凡有意参加投标者，请</w:t>
      </w:r>
      <w:r>
        <w:rPr>
          <w:rFonts w:hint="eastAsia" w:ascii="宋体" w:hAnsi="宋体"/>
          <w:sz w:val="24"/>
          <w:szCs w:val="24"/>
        </w:rPr>
        <w:t>于</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分至</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r>
        <w:rPr>
          <w:rFonts w:ascii="宋体" w:hAnsi="宋体"/>
          <w:sz w:val="24"/>
          <w:szCs w:val="24"/>
        </w:rPr>
        <w:t>(北京时间，下同)，登录</w:t>
      </w:r>
      <w:r>
        <w:rPr>
          <w:rFonts w:hint="eastAsia" w:ascii="宋体" w:hAnsi="宋体" w:cs="宋体"/>
          <w:sz w:val="24"/>
          <w:szCs w:val="24"/>
          <w:u w:val="single"/>
        </w:rPr>
        <w:t>广州交易集团有限公司（广州公共资源交易中心）</w:t>
      </w:r>
      <w:r>
        <w:rPr>
          <w:rFonts w:hint="eastAsia" w:ascii="宋体" w:hAnsi="宋体"/>
          <w:sz w:val="24"/>
          <w:szCs w:val="24"/>
          <w:u w:val="single"/>
        </w:rPr>
        <w:t>网站（http://www.gzggzy.cn）</w:t>
      </w:r>
      <w:r>
        <w:rPr>
          <w:rFonts w:ascii="宋体" w:hAnsi="宋体"/>
          <w:sz w:val="24"/>
          <w:szCs w:val="24"/>
        </w:rPr>
        <w:t>下载</w:t>
      </w:r>
      <w:r>
        <w:rPr>
          <w:rFonts w:hint="eastAsia" w:ascii="宋体" w:hAnsi="宋体"/>
          <w:sz w:val="24"/>
          <w:szCs w:val="24"/>
        </w:rPr>
        <w:t>电子</w:t>
      </w:r>
      <w:r>
        <w:rPr>
          <w:rFonts w:ascii="宋体" w:hAnsi="宋体"/>
          <w:sz w:val="24"/>
          <w:szCs w:val="24"/>
        </w:rPr>
        <w:t>招标文件。</w:t>
      </w:r>
    </w:p>
    <w:p w14:paraId="74B15B35">
      <w:pPr>
        <w:keepNext w:val="0"/>
        <w:keepLines w:val="0"/>
        <w:pageBreakBefore w:val="0"/>
        <w:wordWrap/>
        <w:topLinePunct w:val="0"/>
        <w:autoSpaceDE/>
        <w:autoSpaceDN/>
        <w:bidi w:val="0"/>
        <w:spacing w:line="360" w:lineRule="auto"/>
        <w:ind w:firstLine="480" w:firstLineChars="200"/>
        <w:rPr>
          <w:rFonts w:ascii="宋体" w:hAnsi="宋体"/>
          <w:sz w:val="24"/>
        </w:rPr>
      </w:pPr>
      <w:r>
        <w:rPr>
          <w:rFonts w:ascii="宋体" w:hAnsi="宋体"/>
          <w:sz w:val="24"/>
        </w:rPr>
        <w:t>4.2</w:t>
      </w:r>
      <w:r>
        <w:rPr>
          <w:rFonts w:hint="eastAsia" w:ascii="宋体" w:hAnsi="宋体"/>
          <w:sz w:val="24"/>
          <w:szCs w:val="24"/>
        </w:rPr>
        <w:t>发布招标公告日期（含本日）为：</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分至</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p>
    <w:p w14:paraId="2FD65560">
      <w:pPr>
        <w:keepNext w:val="0"/>
        <w:keepLines w:val="0"/>
        <w:pageBreakBefore w:val="0"/>
        <w:tabs>
          <w:tab w:val="left" w:pos="7513"/>
        </w:tabs>
        <w:wordWrap/>
        <w:topLinePunct w:val="0"/>
        <w:autoSpaceDE/>
        <w:autoSpaceDN/>
        <w:bidi w:val="0"/>
        <w:spacing w:line="360" w:lineRule="auto"/>
        <w:ind w:firstLine="480" w:firstLineChars="200"/>
        <w:rPr>
          <w:rFonts w:ascii="宋体" w:hAnsi="宋体"/>
          <w:sz w:val="24"/>
        </w:rPr>
      </w:pPr>
      <w:r>
        <w:rPr>
          <w:rFonts w:hint="eastAsia" w:ascii="宋体" w:cs="宋体"/>
          <w:sz w:val="24"/>
          <w:szCs w:val="24"/>
        </w:rPr>
        <w:t>注：</w:t>
      </w:r>
      <w:r>
        <w:rPr>
          <w:rFonts w:hint="eastAsia" w:ascii="宋体" w:hAnsi="宋体"/>
          <w:sz w:val="24"/>
          <w:szCs w:val="24"/>
          <w:u w:val="single"/>
        </w:rPr>
        <w:t>本公告发布之日起开始发布招标文件，发布招标公告的时间为招标公告发出之日起至递交投标文件截止时间止</w:t>
      </w:r>
      <w:r>
        <w:rPr>
          <w:rFonts w:ascii="宋体" w:hAnsi="宋体"/>
          <w:sz w:val="24"/>
          <w:szCs w:val="24"/>
          <w:u w:val="single"/>
        </w:rPr>
        <w:t>,并从招标公告发布之日起开始</w:t>
      </w:r>
      <w:r>
        <w:rPr>
          <w:rFonts w:hint="eastAsia" w:ascii="宋体" w:hAnsi="宋体"/>
          <w:sz w:val="24"/>
          <w:szCs w:val="24"/>
          <w:u w:val="single"/>
        </w:rPr>
        <w:t>计算备标时间</w:t>
      </w:r>
      <w:r>
        <w:rPr>
          <w:rFonts w:hint="eastAsia" w:ascii="宋体" w:hAnsi="宋体"/>
          <w:sz w:val="24"/>
        </w:rPr>
        <w:t>。</w:t>
      </w:r>
    </w:p>
    <w:p w14:paraId="155F67CC">
      <w:pPr>
        <w:pStyle w:val="21"/>
        <w:keepNext w:val="0"/>
        <w:keepLines w:val="0"/>
        <w:pageBreakBefore w:val="0"/>
        <w:wordWrap/>
        <w:topLinePunct w:val="0"/>
        <w:autoSpaceDE/>
        <w:autoSpaceDN/>
        <w:bidi w:val="0"/>
        <w:spacing w:line="360" w:lineRule="auto"/>
        <w:ind w:firstLine="480" w:firstLineChars="200"/>
        <w:jc w:val="both"/>
        <w:rPr>
          <w:b w:val="0"/>
          <w:bCs/>
        </w:rPr>
      </w:pPr>
      <w:r>
        <w:rPr>
          <w:rFonts w:ascii="宋体" w:hAnsi="宋体"/>
          <w:b w:val="0"/>
          <w:bCs/>
          <w:sz w:val="24"/>
        </w:rPr>
        <w:t>4.3本项目采用资格后审方式。</w:t>
      </w:r>
    </w:p>
    <w:p w14:paraId="01A47219">
      <w:pPr>
        <w:pStyle w:val="24"/>
        <w:keepNext w:val="0"/>
        <w:keepLines w:val="0"/>
        <w:pageBreakBefore w:val="0"/>
        <w:wordWrap/>
        <w:topLinePunct w:val="0"/>
        <w:autoSpaceDE/>
        <w:autoSpaceDN/>
        <w:bidi w:val="0"/>
        <w:spacing w:line="360" w:lineRule="auto"/>
        <w:ind w:firstLine="480" w:firstLineChars="200"/>
        <w:rPr>
          <w:szCs w:val="24"/>
        </w:rPr>
      </w:pPr>
      <w:r>
        <w:rPr>
          <w:rFonts w:hint="eastAsia"/>
          <w:szCs w:val="24"/>
        </w:rPr>
        <w:t>注：（1）</w:t>
      </w:r>
      <w:r>
        <w:rPr>
          <w:szCs w:val="24"/>
        </w:rPr>
        <w:t>电子招投标操作流程详见</w:t>
      </w:r>
      <w:r>
        <w:rPr>
          <w:rFonts w:hint="eastAsia"/>
          <w:szCs w:val="24"/>
        </w:rPr>
        <w:t>广州交易集团有限公司（</w:t>
      </w:r>
      <w:r>
        <w:rPr>
          <w:szCs w:val="24"/>
        </w:rPr>
        <w:t>广州公共资源交易中心</w:t>
      </w:r>
      <w:r>
        <w:rPr>
          <w:rFonts w:hint="eastAsia"/>
          <w:szCs w:val="24"/>
        </w:rPr>
        <w:t>）</w:t>
      </w:r>
      <w:r>
        <w:rPr>
          <w:szCs w:val="24"/>
        </w:rPr>
        <w:t>网站发布的最新版操作指引。</w:t>
      </w:r>
    </w:p>
    <w:p w14:paraId="30BF3382">
      <w:pPr>
        <w:pStyle w:val="24"/>
        <w:keepNext w:val="0"/>
        <w:keepLines w:val="0"/>
        <w:pageBreakBefore w:val="0"/>
        <w:wordWrap/>
        <w:topLinePunct w:val="0"/>
        <w:autoSpaceDE/>
        <w:autoSpaceDN/>
        <w:bidi w:val="0"/>
        <w:spacing w:line="360" w:lineRule="auto"/>
        <w:ind w:firstLine="480" w:firstLineChars="200"/>
        <w:rPr>
          <w:szCs w:val="24"/>
        </w:rPr>
      </w:pPr>
      <w:r>
        <w:rPr>
          <w:rFonts w:hint="eastAsia"/>
        </w:rPr>
        <w:t>（</w:t>
      </w:r>
      <w:r>
        <w:t>2）投标人应在递交投标文件截止时间前，登录</w:t>
      </w:r>
      <w:r>
        <w:rPr>
          <w:rFonts w:hint="eastAsia" w:cs="宋体"/>
          <w:szCs w:val="24"/>
          <w:u w:val="single"/>
        </w:rPr>
        <w:t>广州交易集团有限公司（广州公共资源交易中心）</w:t>
      </w:r>
      <w:r>
        <w:t>交易平台网站办理网上投标登记手续。按照交易平台关于全流程电子化项目的相关指南进行操作。</w:t>
      </w:r>
      <w:r>
        <w:rPr>
          <w:rFonts w:hint="eastAsia"/>
        </w:rPr>
        <w:t>详见广州交易集团有限公司（广州公共资源交易中心）网站（网址：</w:t>
      </w:r>
      <w:r>
        <w:t>http://www.gzggzy.cn</w:t>
      </w:r>
      <w:r>
        <w:rPr>
          <w:rFonts w:hint="eastAsia"/>
        </w:rPr>
        <w:t>）</w:t>
      </w:r>
      <w:r>
        <w:rPr>
          <w:rFonts w:hint="eastAsia"/>
          <w:szCs w:val="24"/>
        </w:rPr>
        <w:t>。</w:t>
      </w:r>
    </w:p>
    <w:p w14:paraId="52E33ED7">
      <w:pPr>
        <w:keepNext w:val="0"/>
        <w:keepLines w:val="0"/>
        <w:pageBreakBefore w:val="0"/>
        <w:shd w:val="clear" w:color="auto" w:fill="FFFFFF"/>
        <w:wordWrap/>
        <w:topLinePunct w:val="0"/>
        <w:autoSpaceDE/>
        <w:autoSpaceDN/>
        <w:bidi w:val="0"/>
        <w:spacing w:line="360" w:lineRule="auto"/>
        <w:ind w:firstLine="480" w:firstLineChars="200"/>
        <w:rPr>
          <w:rFonts w:ascii="宋体" w:hAnsi="宋体" w:eastAsia="宋体" w:cs="宋体"/>
          <w:sz w:val="24"/>
          <w:szCs w:val="24"/>
          <w:shd w:val="clear" w:color="auto" w:fill="FFFFFF"/>
        </w:rPr>
      </w:pPr>
      <w:r>
        <w:rPr>
          <w:rFonts w:hint="eastAsia" w:ascii="宋体" w:cs="宋体"/>
          <w:sz w:val="24"/>
          <w:szCs w:val="24"/>
        </w:rPr>
        <w:t xml:space="preserve">4.4 </w:t>
      </w:r>
      <w:r>
        <w:rPr>
          <w:rFonts w:hint="eastAsia" w:ascii="宋体" w:hAnsi="宋体" w:eastAsia="宋体" w:cs="宋体"/>
          <w:sz w:val="24"/>
          <w:szCs w:val="24"/>
          <w:shd w:val="clear" w:color="auto" w:fill="FFFFFF"/>
        </w:rPr>
        <w:t>潜在投标人或利害关系人对本招标公告及招标文件有异议的应当在招标投标相关法律法规规定的时间内（投标截止时间10日前）通过电子交易系统向招标人提出，具体按照电子招标投标交易平台相关指南进行操作；尚未登记注册的，可向招标人书面提出。招标人应当在规定的异议答复期限内作出答复；作出答复前，应当暂停招标投标活动。招标人依法作出答复、发布招标文件澄清或者修改文件的，应当通过电子交易系统进行。</w:t>
      </w:r>
    </w:p>
    <w:p w14:paraId="2DC60443">
      <w:pPr>
        <w:keepNext w:val="0"/>
        <w:keepLines w:val="0"/>
        <w:pageBreakBefore w:val="0"/>
        <w:shd w:val="clear" w:color="auto" w:fill="FFFFFF"/>
        <w:wordWrap/>
        <w:topLinePunct w:val="0"/>
        <w:autoSpaceDE/>
        <w:autoSpaceDN/>
        <w:bidi w:val="0"/>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14:paraId="58C87076">
      <w:pPr>
        <w:keepNext w:val="0"/>
        <w:keepLines w:val="0"/>
        <w:pageBreakBefore w:val="0"/>
        <w:shd w:val="clear" w:color="auto" w:fill="FFFFFF"/>
        <w:wordWrap/>
        <w:topLinePunct w:val="0"/>
        <w:autoSpaceDE/>
        <w:autoSpaceDN/>
        <w:bidi w:val="0"/>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14:paraId="45D5D2A2">
      <w:pPr>
        <w:keepNext w:val="0"/>
        <w:keepLines w:val="0"/>
        <w:pageBreakBefore w:val="0"/>
        <w:shd w:val="clear" w:color="auto" w:fill="FFFFFF"/>
        <w:wordWrap/>
        <w:topLinePunct w:val="0"/>
        <w:autoSpaceDE/>
        <w:autoSpaceDN/>
        <w:bidi w:val="0"/>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具体操作详见“广州交易集团有限公司（广州公共资源交易中心）门户网站首页－＞服务指南－〉系统帮助－〉操作手册－〉发起及受理异议操作指引”。</w:t>
      </w:r>
    </w:p>
    <w:p w14:paraId="2398C927">
      <w:pPr>
        <w:keepNext w:val="0"/>
        <w:keepLines w:val="0"/>
        <w:pageBreakBefore w:val="0"/>
        <w:wordWrap/>
        <w:topLinePunct w:val="0"/>
        <w:autoSpaceDE/>
        <w:autoSpaceDN/>
        <w:bidi w:val="0"/>
        <w:spacing w:line="440" w:lineRule="exact"/>
        <w:ind w:firstLine="0" w:firstLineChars="0"/>
        <w:textAlignment w:val="auto"/>
        <w:rPr>
          <w:rFonts w:ascii="宋体" w:cs="宋体"/>
          <w:sz w:val="24"/>
          <w:szCs w:val="24"/>
        </w:rPr>
      </w:pPr>
    </w:p>
    <w:p w14:paraId="2D7C9DD7">
      <w:pPr>
        <w:keepNext w:val="0"/>
        <w:keepLines w:val="0"/>
        <w:pageBreakBefore w:val="0"/>
        <w:widowControl/>
        <w:wordWrap/>
        <w:topLinePunct w:val="0"/>
        <w:autoSpaceDE/>
        <w:autoSpaceDN/>
        <w:bidi w:val="0"/>
        <w:spacing w:line="44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异议受理部门：</w:t>
      </w:r>
      <w:r>
        <w:rPr>
          <w:rFonts w:hint="eastAsia" w:ascii="宋体" w:hAnsi="宋体" w:cs="宋体"/>
          <w:sz w:val="24"/>
          <w:szCs w:val="24"/>
          <w:u w:val="single"/>
          <w:lang w:eastAsia="zh-CN"/>
        </w:rPr>
        <w:t>广州市花都区林业工作站</w:t>
      </w:r>
    </w:p>
    <w:p w14:paraId="581C3E84">
      <w:pPr>
        <w:keepNext w:val="0"/>
        <w:keepLines w:val="0"/>
        <w:pageBreakBefore w:val="0"/>
        <w:widowControl/>
        <w:wordWrap/>
        <w:topLinePunct w:val="0"/>
        <w:autoSpaceDE/>
        <w:autoSpaceDN/>
        <w:bidi w:val="0"/>
        <w:spacing w:line="440" w:lineRule="exact"/>
        <w:ind w:firstLine="480" w:firstLineChars="20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地</w:t>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    </w:t>
      </w:r>
      <w:r>
        <w:rPr>
          <w:rFonts w:ascii="宋体" w:hAnsi="宋体" w:eastAsia="宋体" w:cs="宋体"/>
          <w:color w:val="000000"/>
          <w:sz w:val="24"/>
          <w:szCs w:val="24"/>
        </w:rPr>
        <w:t xml:space="preserve"> 址：</w:t>
      </w:r>
      <w:r>
        <w:rPr>
          <w:rFonts w:hint="eastAsia" w:ascii="宋体" w:hAnsi="宋体" w:eastAsia="宋体" w:cs="宋体"/>
          <w:color w:val="000000"/>
          <w:sz w:val="24"/>
          <w:u w:val="single"/>
        </w:rPr>
        <w:t>广州市花都区迎宾大道5-1</w:t>
      </w:r>
    </w:p>
    <w:p w14:paraId="484A16C4">
      <w:pPr>
        <w:keepNext w:val="0"/>
        <w:keepLines w:val="0"/>
        <w:pageBreakBefore w:val="0"/>
        <w:widowControl/>
        <w:wordWrap/>
        <w:topLinePunct w:val="0"/>
        <w:autoSpaceDE/>
        <w:autoSpaceDN/>
        <w:bidi w:val="0"/>
        <w:spacing w:line="440" w:lineRule="exact"/>
        <w:ind w:firstLine="480" w:firstLineChars="200"/>
        <w:jc w:val="left"/>
        <w:textAlignment w:val="auto"/>
        <w:rPr>
          <w:rFonts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sz w:val="24"/>
          <w:szCs w:val="24"/>
          <w:u w:val="single"/>
        </w:rPr>
        <w:t>020-8679387</w:t>
      </w:r>
      <w:r>
        <w:rPr>
          <w:rFonts w:hint="eastAsia" w:ascii="宋体" w:hAnsi="宋体"/>
          <w:sz w:val="24"/>
          <w:szCs w:val="24"/>
          <w:u w:val="single"/>
          <w:lang w:val="en-US" w:eastAsia="zh-CN"/>
        </w:rPr>
        <w:t>8</w:t>
      </w:r>
    </w:p>
    <w:p w14:paraId="29416C1E">
      <w:pPr>
        <w:keepNext w:val="0"/>
        <w:keepLines w:val="0"/>
        <w:pageBreakBefore w:val="0"/>
        <w:widowControl/>
        <w:wordWrap/>
        <w:topLinePunct w:val="0"/>
        <w:autoSpaceDE/>
        <w:autoSpaceDN/>
        <w:bidi w:val="0"/>
        <w:spacing w:line="440" w:lineRule="exact"/>
        <w:ind w:firstLine="482" w:firstLineChars="200"/>
        <w:jc w:val="left"/>
        <w:textAlignment w:val="auto"/>
        <w:rPr>
          <w:rFonts w:hint="eastAsia" w:ascii="宋体" w:hAnsi="宋体" w:eastAsia="宋体" w:cs="宋体"/>
          <w:b/>
          <w:bCs/>
          <w:color w:val="000000"/>
          <w:szCs w:val="21"/>
        </w:rPr>
      </w:pPr>
      <w:r>
        <w:rPr>
          <w:rFonts w:hint="eastAsia" w:ascii="宋体" w:hAnsi="宋体" w:eastAsia="宋体" w:cs="宋体"/>
          <w:b/>
          <w:bCs/>
          <w:color w:val="000000"/>
          <w:sz w:val="24"/>
          <w:szCs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FA1DDE0">
      <w:pPr>
        <w:pStyle w:val="2"/>
        <w:keepNext w:val="0"/>
        <w:keepLines w:val="0"/>
        <w:pageBreakBefore w:val="0"/>
        <w:wordWrap/>
        <w:topLinePunct w:val="0"/>
        <w:autoSpaceDE/>
        <w:autoSpaceDN/>
        <w:bidi w:val="0"/>
        <w:spacing w:line="360" w:lineRule="auto"/>
        <w:ind w:firstLine="482" w:firstLineChars="200"/>
        <w:textAlignment w:val="auto"/>
        <w:rPr>
          <w:rFonts w:ascii="Times New Roman" w:hAnsi="Times New Roman"/>
          <w:sz w:val="24"/>
          <w:szCs w:val="24"/>
        </w:rPr>
      </w:pPr>
      <w:r>
        <w:rPr>
          <w:rFonts w:ascii="Times New Roman" w:hAnsi="Times New Roman"/>
          <w:sz w:val="24"/>
          <w:szCs w:val="24"/>
        </w:rPr>
        <w:t xml:space="preserve">5. </w:t>
      </w:r>
      <w:r>
        <w:rPr>
          <w:rFonts w:hint="eastAsia" w:ascii="Times New Roman" w:hAnsi="Times New Roman"/>
          <w:sz w:val="24"/>
          <w:szCs w:val="24"/>
        </w:rPr>
        <w:t>投标文件的递交</w:t>
      </w:r>
    </w:p>
    <w:p w14:paraId="10EFFC45">
      <w:pPr>
        <w:keepNext w:val="0"/>
        <w:keepLines w:val="0"/>
        <w:pageBreakBefore w:val="0"/>
        <w:wordWrap/>
        <w:topLinePunct w:val="0"/>
        <w:autoSpaceDE/>
        <w:autoSpaceDN/>
        <w:bidi w:val="0"/>
        <w:spacing w:line="440" w:lineRule="exact"/>
        <w:ind w:firstLine="480" w:firstLineChars="200"/>
        <w:contextualSpacing/>
        <w:textAlignment w:val="auto"/>
        <w:rPr>
          <w:rFonts w:ascii="宋体" w:hAnsi="宋体" w:cs="宋体"/>
          <w:sz w:val="24"/>
          <w:szCs w:val="24"/>
        </w:rPr>
      </w:pPr>
      <w:r>
        <w:rPr>
          <w:rFonts w:ascii="宋体" w:hAnsi="宋体" w:cs="宋体"/>
          <w:sz w:val="24"/>
          <w:szCs w:val="24"/>
        </w:rPr>
        <w:t xml:space="preserve">5.1 </w:t>
      </w:r>
      <w:r>
        <w:rPr>
          <w:rFonts w:hint="eastAsia" w:ascii="宋体" w:hAnsi="宋体" w:cs="宋体"/>
          <w:sz w:val="24"/>
          <w:szCs w:val="24"/>
        </w:rPr>
        <w:t>投标文件递交的截止时间（投标截止时间，下同）为</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r>
        <w:rPr>
          <w:rFonts w:hint="eastAsia" w:ascii="宋体" w:hAnsi="宋体" w:cs="宋体"/>
          <w:sz w:val="24"/>
          <w:szCs w:val="24"/>
        </w:rPr>
        <w:t>，投标人应在截止时间前通过</w:t>
      </w:r>
      <w:r>
        <w:rPr>
          <w:rFonts w:hint="eastAsia" w:ascii="宋体" w:hAnsi="宋体" w:cs="宋体"/>
          <w:sz w:val="24"/>
          <w:szCs w:val="24"/>
          <w:u w:val="single"/>
        </w:rPr>
        <w:t>广州交易集团有限公司（广州公共资源交易中心）网站（网址：http://www.gzggzy.cn/）</w:t>
      </w:r>
      <w:r>
        <w:rPr>
          <w:rFonts w:hint="eastAsia" w:ascii="宋体" w:hAnsi="宋体" w:cs="宋体"/>
          <w:sz w:val="24"/>
          <w:szCs w:val="24"/>
        </w:rPr>
        <w:t>递交电子投标文件。</w:t>
      </w:r>
    </w:p>
    <w:p w14:paraId="70590068">
      <w:pPr>
        <w:keepNext w:val="0"/>
        <w:keepLines w:val="0"/>
        <w:pageBreakBefore w:val="0"/>
        <w:wordWrap/>
        <w:topLinePunct w:val="0"/>
        <w:autoSpaceDE/>
        <w:autoSpaceDN/>
        <w:bidi w:val="0"/>
        <w:spacing w:line="440" w:lineRule="exact"/>
        <w:ind w:firstLine="480" w:firstLineChars="200"/>
        <w:textAlignment w:val="auto"/>
        <w:rPr>
          <w:rFonts w:ascii="宋体" w:hAnsi="宋体" w:cs="宋体"/>
          <w:sz w:val="24"/>
          <w:szCs w:val="24"/>
        </w:rPr>
      </w:pPr>
      <w:r>
        <w:rPr>
          <w:rFonts w:ascii="宋体" w:hAnsi="宋体" w:cs="宋体"/>
          <w:sz w:val="24"/>
          <w:szCs w:val="24"/>
        </w:rPr>
        <w:t xml:space="preserve">5.2 </w:t>
      </w:r>
      <w:r>
        <w:rPr>
          <w:rFonts w:hint="eastAsia" w:ascii="宋体" w:hAnsi="宋体" w:cs="宋体"/>
          <w:sz w:val="24"/>
          <w:szCs w:val="24"/>
        </w:rPr>
        <w:t>递交备用投标文件电子光盘</w:t>
      </w:r>
      <w:r>
        <w:rPr>
          <w:rFonts w:ascii="宋体" w:hAnsi="宋体" w:cs="宋体"/>
          <w:sz w:val="24"/>
          <w:szCs w:val="24"/>
        </w:rPr>
        <w:t>或u盘</w:t>
      </w:r>
      <w:r>
        <w:rPr>
          <w:rFonts w:hint="eastAsia" w:ascii="宋体" w:hAnsi="宋体" w:cs="宋体"/>
          <w:sz w:val="24"/>
          <w:szCs w:val="24"/>
        </w:rPr>
        <w:t>的规定：时间为：</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r>
        <w:rPr>
          <w:rFonts w:hint="eastAsia" w:ascii="宋体" w:hAnsi="宋体" w:cs="宋体"/>
          <w:sz w:val="24"/>
          <w:szCs w:val="24"/>
        </w:rPr>
        <w:t>至</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r>
        <w:rPr>
          <w:rFonts w:hint="eastAsia" w:ascii="宋体" w:hAnsi="宋体" w:cs="宋体"/>
          <w:sz w:val="24"/>
          <w:szCs w:val="24"/>
        </w:rPr>
        <w:t>；地点：</w:t>
      </w:r>
      <w:r>
        <w:rPr>
          <w:rFonts w:hint="eastAsia" w:ascii="宋体" w:hAnsi="宋体" w:eastAsia="宋体" w:cs="宋体"/>
          <w:kern w:val="0"/>
          <w:sz w:val="24"/>
          <w:szCs w:val="24"/>
          <w:u w:val="single"/>
          <w:shd w:val="clear" w:color="auto" w:fill="FFFFFF"/>
        </w:rPr>
        <w:t>广州交易集团有限公司（广州公共资源交易中心</w:t>
      </w:r>
      <w:r>
        <w:rPr>
          <w:rFonts w:hint="eastAsia" w:ascii="宋体" w:hAnsi="宋体" w:eastAsia="宋体" w:cs="宋体"/>
          <w:kern w:val="0"/>
          <w:sz w:val="24"/>
          <w:szCs w:val="24"/>
          <w:u w:val="single"/>
          <w:shd w:val="clear" w:color="auto" w:fill="FFFFFF"/>
          <w:lang w:eastAsia="zh-CN"/>
        </w:rPr>
        <w:t>）</w:t>
      </w:r>
      <w:r>
        <w:rPr>
          <w:rFonts w:hint="eastAsia" w:ascii="宋体" w:hAnsi="宋体" w:eastAsia="宋体" w:cs="宋体"/>
          <w:kern w:val="0"/>
          <w:sz w:val="24"/>
          <w:szCs w:val="24"/>
          <w:u w:val="single"/>
          <w:shd w:val="clear" w:color="auto" w:fill="FFFFFF"/>
        </w:rPr>
        <w:t>花都交易部（广州市花都区玫瑰路10号滨晖大厦</w:t>
      </w:r>
      <w:r>
        <w:rPr>
          <w:rFonts w:hint="eastAsia" w:ascii="宋体" w:hAnsi="宋体" w:eastAsia="宋体" w:cs="宋体"/>
          <w:kern w:val="0"/>
          <w:sz w:val="24"/>
          <w:szCs w:val="24"/>
          <w:u w:val="single"/>
          <w:shd w:val="clear" w:color="auto" w:fill="FFFFFF"/>
          <w:lang w:val="en-US" w:eastAsia="zh-CN"/>
        </w:rPr>
        <w:t>二楼</w:t>
      </w:r>
      <w:r>
        <w:rPr>
          <w:rFonts w:hint="eastAsia" w:ascii="宋体" w:hAnsi="宋体" w:eastAsia="宋体" w:cs="宋体"/>
          <w:kern w:val="0"/>
          <w:sz w:val="24"/>
          <w:szCs w:val="24"/>
          <w:u w:val="single"/>
          <w:shd w:val="clear" w:color="auto" w:fill="FFFFFF"/>
        </w:rPr>
        <w:t>）</w:t>
      </w:r>
      <w:r>
        <w:rPr>
          <w:rFonts w:hint="eastAsia" w:ascii="宋体" w:hAnsi="宋体" w:eastAsia="宋体" w:cs="宋体"/>
          <w:sz w:val="24"/>
          <w:szCs w:val="24"/>
          <w:u w:val="single"/>
        </w:rPr>
        <w:t>指定开标室，</w:t>
      </w:r>
      <w:r>
        <w:rPr>
          <w:rFonts w:hint="eastAsia" w:ascii="宋体" w:hAnsi="宋体" w:eastAsia="宋体" w:cs="宋体"/>
          <w:color w:val="000000"/>
          <w:kern w:val="0"/>
          <w:sz w:val="24"/>
          <w:szCs w:val="24"/>
          <w:u w:val="single"/>
          <w:shd w:val="clear" w:color="auto" w:fill="FFFFFF"/>
          <w:lang w:bidi="ar"/>
        </w:rPr>
        <w:t>本项目具体的招投标活动日程安排及场地安排以广州交易集团有限公司（广州公共资源交易中心）网站中“建设工程”→“项目查询（日程安排、答疑纪要）”公布的为准</w:t>
      </w:r>
      <w:r>
        <w:rPr>
          <w:rFonts w:hint="eastAsia" w:ascii="宋体" w:hAnsi="宋体" w:eastAsia="宋体" w:cs="宋体"/>
          <w:color w:val="000000"/>
          <w:kern w:val="0"/>
          <w:sz w:val="24"/>
          <w:szCs w:val="24"/>
          <w:shd w:val="clear" w:color="auto" w:fill="FFFFFF"/>
          <w:lang w:bidi="ar"/>
        </w:rPr>
        <w:t>。电子光盘或u盘需按规定封装。投标人在将数据刻录到光盘或u盘之后，投标前自行检查文件是否可以读取。</w:t>
      </w:r>
    </w:p>
    <w:p w14:paraId="63BCB805">
      <w:pPr>
        <w:keepNext w:val="0"/>
        <w:keepLines w:val="0"/>
        <w:pageBreakBefore w:val="0"/>
        <w:wordWrap/>
        <w:topLinePunct w:val="0"/>
        <w:autoSpaceDE/>
        <w:autoSpaceDN/>
        <w:bidi w:val="0"/>
        <w:spacing w:line="440" w:lineRule="exact"/>
        <w:ind w:firstLine="480" w:firstLineChars="200"/>
        <w:textAlignment w:val="auto"/>
        <w:rPr>
          <w:rFonts w:ascii="宋体" w:hAnsi="宋体" w:cs="宋体"/>
          <w:sz w:val="24"/>
          <w:szCs w:val="24"/>
        </w:rPr>
      </w:pPr>
      <w:r>
        <w:rPr>
          <w:rFonts w:ascii="宋体" w:hAnsi="宋体" w:cs="宋体"/>
          <w:sz w:val="24"/>
          <w:szCs w:val="24"/>
        </w:rPr>
        <w:t xml:space="preserve">5.3 </w:t>
      </w:r>
      <w:r>
        <w:rPr>
          <w:rFonts w:hint="eastAsia" w:ascii="宋体" w:hAnsi="宋体" w:cs="宋体"/>
          <w:sz w:val="24"/>
          <w:szCs w:val="24"/>
        </w:rPr>
        <w:t>逾期送达的投标文件，电子招标投标交易平台将予以拒收</w:t>
      </w:r>
    </w:p>
    <w:p w14:paraId="5CFEA2AD">
      <w:pPr>
        <w:keepNext w:val="0"/>
        <w:keepLines w:val="0"/>
        <w:pageBreakBefore w:val="0"/>
        <w:wordWrap/>
        <w:topLinePunct w:val="0"/>
        <w:autoSpaceDE/>
        <w:autoSpaceDN/>
        <w:bidi w:val="0"/>
        <w:spacing w:line="440" w:lineRule="exact"/>
        <w:ind w:firstLine="480" w:firstLineChars="200"/>
        <w:textAlignment w:val="auto"/>
        <w:rPr>
          <w:rFonts w:ascii="宋体" w:hAnsi="宋体" w:cs="仿宋_GB2312"/>
          <w:color w:val="000000" w:themeColor="text1"/>
          <w:kern w:val="0"/>
          <w:sz w:val="24"/>
          <w:szCs w:val="24"/>
          <w:shd w:val="clear" w:color="auto" w:fill="FFFFFF"/>
        </w:rPr>
      </w:pPr>
      <w:r>
        <w:rPr>
          <w:rFonts w:ascii="宋体" w:hAnsi="宋体" w:cs="宋体"/>
          <w:color w:val="000000" w:themeColor="text1"/>
          <w:sz w:val="24"/>
          <w:szCs w:val="24"/>
        </w:rPr>
        <w:t xml:space="preserve">5.4 </w:t>
      </w:r>
      <w:r>
        <w:rPr>
          <w:rFonts w:hint="eastAsia" w:ascii="宋体" w:hAnsi="宋体" w:cs="宋体"/>
          <w:color w:val="000000" w:themeColor="text1"/>
          <w:sz w:val="24"/>
          <w:szCs w:val="24"/>
        </w:rPr>
        <w:t>投标人完成电子投标上传后，电子招标投标交易平台即时向投标人发出递交回执通知。递交时间以递交回执通知载明的传输时间为准</w:t>
      </w:r>
      <w:r>
        <w:rPr>
          <w:rFonts w:hint="eastAsia" w:ascii="宋体" w:hAnsi="宋体" w:cs="仿宋_GB2312"/>
          <w:color w:val="000000" w:themeColor="text1"/>
          <w:kern w:val="0"/>
          <w:sz w:val="24"/>
          <w:szCs w:val="24"/>
          <w:shd w:val="clear" w:color="auto" w:fill="FFFFFF"/>
        </w:rPr>
        <w:t>。</w:t>
      </w:r>
      <w:bookmarkStart w:id="0" w:name="_Toc515033015"/>
      <w:bookmarkEnd w:id="0"/>
    </w:p>
    <w:p w14:paraId="72A7E903">
      <w:pPr>
        <w:pStyle w:val="21"/>
        <w:keepNext w:val="0"/>
        <w:keepLines w:val="0"/>
        <w:pageBreakBefore w:val="0"/>
        <w:wordWrap/>
        <w:topLinePunct w:val="0"/>
        <w:autoSpaceDE/>
        <w:autoSpaceDN/>
        <w:bidi w:val="0"/>
        <w:spacing w:line="440" w:lineRule="exact"/>
        <w:ind w:firstLine="480" w:firstLineChars="200"/>
        <w:jc w:val="left"/>
        <w:textAlignment w:val="auto"/>
        <w:rPr>
          <w:rFonts w:ascii="宋体" w:hAnsi="宋体" w:cs="宋体"/>
          <w:b w:val="0"/>
          <w:color w:val="FF0000"/>
          <w:sz w:val="24"/>
        </w:rPr>
      </w:pPr>
      <w:r>
        <w:rPr>
          <w:rFonts w:hint="eastAsia" w:ascii="宋体" w:hAnsi="宋体" w:cs="宋体"/>
          <w:b w:val="0"/>
          <w:kern w:val="0"/>
          <w:sz w:val="24"/>
          <w:shd w:val="clear" w:color="auto" w:fill="FFFFFF"/>
        </w:rPr>
        <w:t>5.5</w:t>
      </w:r>
      <w:r>
        <w:rPr>
          <w:rFonts w:hint="eastAsia" w:ascii="宋体" w:hAnsi="宋体" w:cs="宋体"/>
          <w:b w:val="0"/>
          <w:color w:val="000000" w:themeColor="text1"/>
          <w:sz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E20BDBA">
      <w:pPr>
        <w:pStyle w:val="23"/>
        <w:keepNext w:val="0"/>
        <w:keepLines w:val="0"/>
        <w:pageBreakBefore w:val="0"/>
        <w:wordWrap/>
        <w:topLinePunct w:val="0"/>
        <w:autoSpaceDE/>
        <w:autoSpaceDN/>
        <w:bidi w:val="0"/>
        <w:spacing w:before="156"/>
        <w:ind w:firstLine="482" w:firstLineChars="200"/>
        <w:textAlignment w:val="auto"/>
        <w:rPr>
          <w:sz w:val="24"/>
          <w:szCs w:val="24"/>
        </w:rPr>
      </w:pPr>
      <w:r>
        <w:rPr>
          <w:rFonts w:hint="eastAsia"/>
          <w:sz w:val="24"/>
          <w:szCs w:val="24"/>
        </w:rPr>
        <w:t>6.发布公告的媒介</w:t>
      </w:r>
    </w:p>
    <w:p w14:paraId="10F9D3F4">
      <w:pPr>
        <w:pStyle w:val="24"/>
        <w:keepNext w:val="0"/>
        <w:keepLines w:val="0"/>
        <w:pageBreakBefore w:val="0"/>
        <w:wordWrap/>
        <w:topLinePunct w:val="0"/>
        <w:autoSpaceDE/>
        <w:autoSpaceDN/>
        <w:bidi w:val="0"/>
        <w:ind w:firstLine="480" w:firstLineChars="200"/>
        <w:textAlignment w:val="auto"/>
      </w:pPr>
      <w:r>
        <w:rPr>
          <w:szCs w:val="24"/>
        </w:rPr>
        <w:t>本次招标公告同时在</w:t>
      </w:r>
      <w:r>
        <w:rPr>
          <w:rFonts w:hint="eastAsia" w:ascii="宋体" w:hAnsi="宋体" w:eastAsia="宋体" w:cs="宋体"/>
          <w:color w:val="000000"/>
          <w:szCs w:val="21"/>
          <w:u w:val="single"/>
        </w:rPr>
        <w:t>广州交易集团有限公司（广州公共资源交易中心）网站（网址：http://www.gzggzy.cn/）、广东省招标投标监管网站（网址：http://zbtb.gd.gov.cn/）和中国招标投标公共服务平台（网址：</w:t>
      </w:r>
      <w:r>
        <w:rPr>
          <w:rFonts w:hint="eastAsia" w:ascii="宋体" w:hAnsi="宋体" w:eastAsia="宋体" w:cs="宋体"/>
          <w:color w:val="000000"/>
          <w:szCs w:val="21"/>
          <w:u w:val="single"/>
        </w:rPr>
        <w:fldChar w:fldCharType="begin"/>
      </w:r>
      <w:r>
        <w:rPr>
          <w:rFonts w:hint="eastAsia" w:ascii="宋体" w:hAnsi="宋体" w:eastAsia="宋体" w:cs="宋体"/>
          <w:color w:val="000000"/>
          <w:szCs w:val="21"/>
          <w:u w:val="single"/>
        </w:rPr>
        <w:instrText xml:space="preserve"> HYPERLINK "http://www.cebpubservice.com）等法定媒体上发布，本公告的修改、补充在广州公共资源交易中心网站发布。本公告在其他法定媒体发布的文本如有不同之处，以在广州公共资源交易中心网站发布的文本为准。" </w:instrText>
      </w:r>
      <w:r>
        <w:rPr>
          <w:rFonts w:hint="eastAsia" w:ascii="宋体" w:hAnsi="宋体" w:eastAsia="宋体" w:cs="宋体"/>
          <w:color w:val="000000"/>
          <w:szCs w:val="21"/>
          <w:u w:val="single"/>
        </w:rPr>
        <w:fldChar w:fldCharType="separate"/>
      </w:r>
      <w:r>
        <w:rPr>
          <w:rStyle w:val="19"/>
          <w:rFonts w:hint="eastAsia" w:ascii="宋体" w:hAnsi="宋体" w:eastAsia="宋体" w:cs="宋体"/>
          <w:color w:val="000000"/>
          <w:szCs w:val="21"/>
        </w:rPr>
        <w:t>http://www.cebpubservice.com）等法定媒体上发布，本公告的修改、补充在广州交易集团有限公司（广州公共资源交易中心）网站发布。本公告在其他法定媒体发布的文本如有不同之处，以在广州交易集团有限公司（广州公共资源交易中心）网站发布的文本为准。</w:t>
      </w:r>
      <w:r>
        <w:rPr>
          <w:rFonts w:hint="eastAsia" w:ascii="宋体" w:hAnsi="宋体" w:eastAsia="宋体" w:cs="宋体"/>
          <w:color w:val="000000"/>
          <w:szCs w:val="21"/>
          <w:u w:val="single"/>
        </w:rPr>
        <w:fldChar w:fldCharType="end"/>
      </w:r>
    </w:p>
    <w:p w14:paraId="768B885B">
      <w:pPr>
        <w:pStyle w:val="23"/>
        <w:keepNext w:val="0"/>
        <w:keepLines w:val="0"/>
        <w:pageBreakBefore w:val="0"/>
        <w:wordWrap/>
        <w:topLinePunct w:val="0"/>
        <w:autoSpaceDE/>
        <w:autoSpaceDN/>
        <w:bidi w:val="0"/>
        <w:spacing w:before="156"/>
        <w:ind w:firstLine="0" w:firstLineChars="0"/>
        <w:textAlignment w:val="auto"/>
        <w:rPr>
          <w:rFonts w:hint="eastAsia"/>
          <w:sz w:val="24"/>
          <w:szCs w:val="24"/>
        </w:rPr>
      </w:pPr>
    </w:p>
    <w:p w14:paraId="7B926A32">
      <w:pPr>
        <w:pStyle w:val="23"/>
        <w:keepNext w:val="0"/>
        <w:keepLines w:val="0"/>
        <w:pageBreakBefore w:val="0"/>
        <w:wordWrap/>
        <w:topLinePunct w:val="0"/>
        <w:autoSpaceDE/>
        <w:autoSpaceDN/>
        <w:bidi w:val="0"/>
        <w:spacing w:before="156"/>
        <w:ind w:firstLine="0" w:firstLineChars="0"/>
        <w:textAlignment w:val="auto"/>
        <w:rPr>
          <w:rFonts w:hint="eastAsia"/>
          <w:sz w:val="24"/>
          <w:szCs w:val="24"/>
        </w:rPr>
      </w:pPr>
    </w:p>
    <w:p w14:paraId="22132C88">
      <w:pPr>
        <w:pStyle w:val="23"/>
        <w:keepNext w:val="0"/>
        <w:keepLines w:val="0"/>
        <w:pageBreakBefore w:val="0"/>
        <w:wordWrap/>
        <w:topLinePunct w:val="0"/>
        <w:autoSpaceDE/>
        <w:autoSpaceDN/>
        <w:bidi w:val="0"/>
        <w:spacing w:before="156" w:line="360" w:lineRule="auto"/>
        <w:ind w:firstLine="482" w:firstLineChars="200"/>
        <w:textAlignment w:val="auto"/>
        <w:rPr>
          <w:sz w:val="24"/>
          <w:szCs w:val="24"/>
        </w:rPr>
      </w:pPr>
      <w:r>
        <w:rPr>
          <w:rFonts w:hint="eastAsia"/>
          <w:sz w:val="24"/>
          <w:szCs w:val="24"/>
        </w:rPr>
        <w:t>7.联系方式</w:t>
      </w:r>
    </w:p>
    <w:p w14:paraId="531F30C2">
      <w:pPr>
        <w:keepNext w:val="0"/>
        <w:keepLines w:val="0"/>
        <w:pageBreakBefore w:val="0"/>
        <w:wordWrap/>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rPr>
        <w:t>招标人：</w:t>
      </w:r>
      <w:r>
        <w:rPr>
          <w:rFonts w:hint="eastAsia" w:ascii="宋体" w:hAnsi="宋体" w:cs="宋体"/>
          <w:color w:val="000000"/>
          <w:sz w:val="24"/>
          <w:szCs w:val="24"/>
          <w:u w:val="single"/>
          <w:lang w:eastAsia="zh-CN"/>
        </w:rPr>
        <w:t>广州市花都区林业工作站</w:t>
      </w:r>
    </w:p>
    <w:p w14:paraId="42DA36C7">
      <w:pPr>
        <w:keepNext w:val="0"/>
        <w:keepLines w:val="0"/>
        <w:pageBreakBefore w:val="0"/>
        <w:wordWrap/>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联系地址：</w:t>
      </w:r>
      <w:r>
        <w:rPr>
          <w:rFonts w:hint="eastAsia" w:ascii="宋体" w:hAnsi="宋体" w:eastAsia="宋体" w:cs="宋体"/>
          <w:color w:val="000000"/>
          <w:sz w:val="24"/>
          <w:szCs w:val="24"/>
          <w:u w:val="single"/>
        </w:rPr>
        <w:t>广州市花都区迎宾大道5-1</w:t>
      </w:r>
    </w:p>
    <w:p w14:paraId="20E8D6EB">
      <w:pPr>
        <w:keepNext w:val="0"/>
        <w:keepLines w:val="0"/>
        <w:pageBreakBefore w:val="0"/>
        <w:widowControl/>
        <w:wordWrap/>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联系人：</w:t>
      </w:r>
      <w:r>
        <w:rPr>
          <w:rFonts w:hint="eastAsia" w:ascii="宋体" w:hAnsi="宋体" w:cs="宋体"/>
          <w:sz w:val="24"/>
          <w:u w:val="single"/>
          <w:lang w:val="en-US" w:eastAsia="zh-CN"/>
        </w:rPr>
        <w:t>胡工</w:t>
      </w:r>
    </w:p>
    <w:p w14:paraId="2282B575">
      <w:pPr>
        <w:keepNext w:val="0"/>
        <w:keepLines w:val="0"/>
        <w:pageBreakBefore w:val="0"/>
        <w:widowControl/>
        <w:wordWrap/>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联系电话：</w:t>
      </w:r>
      <w:r>
        <w:rPr>
          <w:rFonts w:hint="eastAsia" w:ascii="宋体" w:hAnsi="宋体" w:eastAsia="宋体"/>
          <w:sz w:val="24"/>
          <w:szCs w:val="24"/>
          <w:u w:val="single"/>
        </w:rPr>
        <w:t>020-8679387</w:t>
      </w:r>
      <w:r>
        <w:rPr>
          <w:rFonts w:hint="eastAsia" w:ascii="宋体" w:hAnsi="宋体"/>
          <w:sz w:val="24"/>
          <w:szCs w:val="24"/>
          <w:u w:val="single"/>
          <w:lang w:val="en-US" w:eastAsia="zh-CN"/>
        </w:rPr>
        <w:t>8</w:t>
      </w:r>
    </w:p>
    <w:p w14:paraId="1059B39B">
      <w:pPr>
        <w:keepNext w:val="0"/>
        <w:keepLines w:val="0"/>
        <w:pageBreakBefore w:val="0"/>
        <w:widowControl/>
        <w:wordWrap/>
        <w:topLinePunct w:val="0"/>
        <w:autoSpaceDE/>
        <w:autoSpaceDN/>
        <w:bidi w:val="0"/>
        <w:adjustRightInd w:val="0"/>
        <w:snapToGrid w:val="0"/>
        <w:spacing w:line="360" w:lineRule="auto"/>
        <w:ind w:firstLine="0" w:firstLineChars="0"/>
        <w:textAlignment w:val="auto"/>
        <w:rPr>
          <w:rFonts w:ascii="宋体" w:hAnsi="宋体" w:cs="宋体"/>
          <w:sz w:val="24"/>
          <w:szCs w:val="24"/>
        </w:rPr>
      </w:pPr>
    </w:p>
    <w:p w14:paraId="1E43C40B">
      <w:pPr>
        <w:keepNext w:val="0"/>
        <w:keepLines w:val="0"/>
        <w:pageBreakBefore w:val="0"/>
        <w:widowControl/>
        <w:wordWrap/>
        <w:topLinePunct w:val="0"/>
        <w:autoSpaceDE/>
        <w:autoSpaceDN/>
        <w:bidi w:val="0"/>
        <w:adjustRightInd w:val="0"/>
        <w:snapToGrid w:val="0"/>
        <w:spacing w:line="360" w:lineRule="auto"/>
        <w:ind w:firstLine="0" w:firstLineChars="0"/>
        <w:textAlignment w:val="auto"/>
        <w:rPr>
          <w:rFonts w:hint="eastAsia" w:ascii="宋体" w:hAnsi="宋体" w:cs="宋体"/>
          <w:sz w:val="24"/>
          <w:szCs w:val="24"/>
        </w:rPr>
      </w:pPr>
    </w:p>
    <w:p w14:paraId="46173A08">
      <w:pPr>
        <w:keepNext w:val="0"/>
        <w:keepLines w:val="0"/>
        <w:pageBreakBefore w:val="0"/>
        <w:widowControl/>
        <w:wordWrap/>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u w:val="single"/>
          <w:lang w:eastAsia="zh-CN"/>
        </w:rPr>
        <w:t>广州荣智建设咨询有限公司</w:t>
      </w:r>
    </w:p>
    <w:p w14:paraId="5904FAEA">
      <w:pPr>
        <w:keepNext w:val="0"/>
        <w:keepLines w:val="0"/>
        <w:pageBreakBefore w:val="0"/>
        <w:widowControl/>
        <w:wordWrap/>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联系地址：</w:t>
      </w:r>
      <w:r>
        <w:rPr>
          <w:rFonts w:hint="eastAsia" w:ascii="宋体" w:hAnsi="宋体" w:cs="宋体"/>
          <w:sz w:val="24"/>
          <w:u w:val="single"/>
          <w:lang w:val="zh-TW"/>
        </w:rPr>
        <w:t>广州市花都区新华街迎宾大道163号之四5栋508房</w:t>
      </w:r>
    </w:p>
    <w:p w14:paraId="2035EC6A">
      <w:pPr>
        <w:keepNext w:val="0"/>
        <w:keepLines w:val="0"/>
        <w:pageBreakBefore w:val="0"/>
        <w:widowControl/>
        <w:wordWrap/>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联系人：</w:t>
      </w:r>
      <w:r>
        <w:rPr>
          <w:rFonts w:hint="eastAsia" w:ascii="宋体" w:hAnsi="宋体" w:cs="宋体"/>
          <w:sz w:val="24"/>
          <w:u w:val="single"/>
          <w:lang w:val="en-US" w:eastAsia="zh-CN"/>
        </w:rPr>
        <w:t>徐工</w:t>
      </w:r>
    </w:p>
    <w:p w14:paraId="17C9F016">
      <w:pPr>
        <w:pStyle w:val="32"/>
        <w:keepNext w:val="0"/>
        <w:keepLines w:val="0"/>
        <w:pageBreakBefore w:val="0"/>
        <w:widowControl/>
        <w:wordWrap/>
        <w:topLinePunct w:val="0"/>
        <w:autoSpaceDE/>
        <w:autoSpaceDN/>
        <w:bidi w:val="0"/>
        <w:spacing w:line="360" w:lineRule="auto"/>
        <w:ind w:firstLine="480" w:firstLineChars="200"/>
        <w:textAlignment w:val="auto"/>
        <w:rPr>
          <w:rFonts w:hint="default" w:ascii="宋体" w:hAnsi="宋体" w:eastAsia="宋体"/>
          <w:color w:val="auto"/>
          <w:sz w:val="24"/>
          <w:szCs w:val="24"/>
        </w:rPr>
      </w:pPr>
      <w:r>
        <w:rPr>
          <w:rFonts w:ascii="宋体" w:hAnsi="宋体" w:eastAsia="宋体" w:cs="宋体"/>
          <w:sz w:val="24"/>
          <w:szCs w:val="24"/>
        </w:rPr>
        <w:t>联系电话：</w:t>
      </w:r>
      <w:r>
        <w:rPr>
          <w:rFonts w:hint="eastAsia" w:ascii="宋体" w:hAnsi="宋体" w:eastAsia="宋体" w:cs="宋体"/>
          <w:sz w:val="24"/>
          <w:szCs w:val="24"/>
          <w:u w:val="single"/>
        </w:rPr>
        <w:t>020-36970336</w:t>
      </w:r>
    </w:p>
    <w:p w14:paraId="6AEAE5CD">
      <w:pPr>
        <w:pStyle w:val="24"/>
        <w:keepNext w:val="0"/>
        <w:keepLines w:val="0"/>
        <w:pageBreakBefore w:val="0"/>
        <w:wordWrap/>
        <w:topLinePunct w:val="0"/>
        <w:autoSpaceDE/>
        <w:autoSpaceDN/>
        <w:bidi w:val="0"/>
        <w:spacing w:line="360" w:lineRule="auto"/>
        <w:ind w:firstLine="0" w:firstLineChars="0"/>
        <w:textAlignment w:val="auto"/>
        <w:rPr>
          <w:sz w:val="24"/>
          <w:szCs w:val="24"/>
        </w:rPr>
      </w:pPr>
    </w:p>
    <w:p w14:paraId="6477AD21">
      <w:pPr>
        <w:keepNext w:val="0"/>
        <w:keepLines w:val="0"/>
        <w:pageBreakBefore w:val="0"/>
        <w:widowControl/>
        <w:wordWrap/>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szCs w:val="24"/>
        </w:rPr>
      </w:pPr>
      <w:bookmarkStart w:id="1" w:name="_Toc96005961"/>
      <w:bookmarkStart w:id="2" w:name="_Toc95747145"/>
      <w:bookmarkStart w:id="3" w:name="_Toc95747039"/>
    </w:p>
    <w:p w14:paraId="70386FA7">
      <w:pPr>
        <w:pStyle w:val="24"/>
        <w:keepNext w:val="0"/>
        <w:keepLines w:val="0"/>
        <w:pageBreakBefore w:val="0"/>
        <w:wordWrap/>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招标监督机构：</w:t>
      </w:r>
      <w:r>
        <w:rPr>
          <w:rFonts w:hint="eastAsia" w:ascii="宋体" w:hAnsi="宋体" w:eastAsia="宋体" w:cs="宋体"/>
          <w:color w:val="000000"/>
          <w:kern w:val="0"/>
          <w:sz w:val="24"/>
          <w:szCs w:val="24"/>
          <w:u w:val="single"/>
          <w:lang w:val="en-US" w:eastAsia="zh-CN" w:bidi="ar-SA"/>
        </w:rPr>
        <w:t>广州市花都区建设工程招标和造价管理中心</w:t>
      </w:r>
    </w:p>
    <w:p w14:paraId="4C15A7D0">
      <w:pPr>
        <w:pStyle w:val="24"/>
        <w:keepNext w:val="0"/>
        <w:keepLines w:val="0"/>
        <w:pageBreakBefore w:val="0"/>
        <w:wordWrap/>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u w:val="single"/>
          <w:lang w:val="en-US" w:eastAsia="zh-CN" w:bidi="ar-SA"/>
        </w:rPr>
      </w:pPr>
      <w:r>
        <w:rPr>
          <w:rFonts w:hint="eastAsia" w:ascii="宋体" w:hAnsi="宋体" w:eastAsia="宋体" w:cs="宋体"/>
          <w:color w:val="000000"/>
          <w:kern w:val="0"/>
          <w:sz w:val="24"/>
          <w:szCs w:val="24"/>
          <w:lang w:val="en-US" w:eastAsia="zh-CN" w:bidi="ar-SA"/>
        </w:rPr>
        <w:t>联系地址：</w:t>
      </w:r>
      <w:r>
        <w:rPr>
          <w:rFonts w:hint="eastAsia" w:ascii="宋体" w:hAnsi="宋体" w:eastAsia="宋体" w:cs="宋体"/>
          <w:color w:val="000000"/>
          <w:kern w:val="0"/>
          <w:sz w:val="24"/>
          <w:szCs w:val="24"/>
          <w:u w:val="single"/>
          <w:lang w:val="en-US" w:eastAsia="zh-CN" w:bidi="ar-SA"/>
        </w:rPr>
        <w:t>广州市花都区公益路39号</w:t>
      </w:r>
    </w:p>
    <w:p w14:paraId="601D7F06">
      <w:pPr>
        <w:pStyle w:val="24"/>
        <w:keepNext w:val="0"/>
        <w:keepLines w:val="0"/>
        <w:pageBreakBefore w:val="0"/>
        <w:wordWrap/>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ascii="宋体" w:hAnsi="宋体" w:eastAsia="宋体" w:cs="宋体"/>
          <w:sz w:val="24"/>
          <w:szCs w:val="24"/>
        </w:rPr>
        <w:t>联系</w:t>
      </w:r>
      <w:r>
        <w:rPr>
          <w:rFonts w:hint="eastAsia" w:ascii="宋体" w:hAnsi="宋体" w:eastAsia="宋体" w:cs="宋体"/>
          <w:color w:val="000000"/>
          <w:kern w:val="0"/>
          <w:sz w:val="24"/>
          <w:szCs w:val="24"/>
          <w:lang w:val="en-US" w:eastAsia="zh-CN" w:bidi="ar-SA"/>
        </w:rPr>
        <w:t>电话：</w:t>
      </w:r>
      <w:r>
        <w:rPr>
          <w:rFonts w:hint="eastAsia" w:ascii="宋体" w:hAnsi="宋体" w:eastAsia="宋体" w:cs="宋体"/>
          <w:color w:val="000000"/>
          <w:kern w:val="0"/>
          <w:sz w:val="24"/>
          <w:szCs w:val="24"/>
          <w:u w:val="single"/>
          <w:lang w:val="en-US" w:eastAsia="zh-CN" w:bidi="ar-SA"/>
        </w:rPr>
        <w:t>020-36897092</w:t>
      </w:r>
    </w:p>
    <w:p w14:paraId="15650E23">
      <w:pPr>
        <w:pStyle w:val="24"/>
        <w:spacing w:line="360" w:lineRule="auto"/>
        <w:ind w:firstLine="0" w:firstLineChars="0"/>
        <w:rPr>
          <w:rFonts w:cs="宋体"/>
          <w:szCs w:val="24"/>
        </w:rPr>
      </w:pPr>
    </w:p>
    <w:p w14:paraId="52AA2C14">
      <w:pPr>
        <w:pStyle w:val="2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cs="宋体"/>
          <w:szCs w:val="24"/>
        </w:rPr>
      </w:pPr>
    </w:p>
    <w:p w14:paraId="6CA3B4B9">
      <w:pPr>
        <w:pStyle w:val="2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cs="宋体"/>
          <w:szCs w:val="24"/>
        </w:rPr>
      </w:pPr>
    </w:p>
    <w:p w14:paraId="4975C6FB">
      <w:pPr>
        <w:pStyle w:val="2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cs="宋体"/>
          <w:szCs w:val="24"/>
        </w:rPr>
      </w:pPr>
    </w:p>
    <w:p w14:paraId="6152A69C">
      <w:pPr>
        <w:pStyle w:val="2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cs="宋体"/>
          <w:szCs w:val="24"/>
        </w:rPr>
      </w:pPr>
    </w:p>
    <w:p w14:paraId="1E96C4C2">
      <w:pPr>
        <w:pStyle w:val="24"/>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cs="宋体"/>
          <w:bCs/>
          <w:szCs w:val="24"/>
        </w:rPr>
      </w:pPr>
      <w:r>
        <w:rPr>
          <w:rFonts w:hint="eastAsia" w:cs="宋体"/>
          <w:szCs w:val="24"/>
        </w:rPr>
        <w:t>附件</w:t>
      </w:r>
      <w:bookmarkEnd w:id="1"/>
      <w:bookmarkEnd w:id="2"/>
      <w:bookmarkEnd w:id="3"/>
      <w:r>
        <w:rPr>
          <w:rFonts w:hint="eastAsia" w:cs="宋体"/>
          <w:szCs w:val="24"/>
        </w:rPr>
        <w:t>：</w:t>
      </w:r>
    </w:p>
    <w:p w14:paraId="2FB100E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sz w:val="32"/>
          <w:szCs w:val="32"/>
        </w:rPr>
      </w:pPr>
      <w:r>
        <w:rPr>
          <w:rFonts w:hint="eastAsia" w:ascii="宋体" w:hAnsi="宋体" w:cs="宋体"/>
          <w:b/>
          <w:sz w:val="32"/>
          <w:szCs w:val="32"/>
        </w:rPr>
        <w:t>投标人声明</w:t>
      </w:r>
    </w:p>
    <w:p w14:paraId="69751D86">
      <w:pPr>
        <w:pStyle w:val="8"/>
      </w:pPr>
    </w:p>
    <w:p w14:paraId="3B983660">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kern w:val="2"/>
        </w:rPr>
      </w:pPr>
      <w:r>
        <w:rPr>
          <w:rFonts w:hint="eastAsia"/>
          <w:lang w:eastAsia="zh-CN"/>
        </w:rPr>
        <w:t>广州市花都区林业工作站</w:t>
      </w:r>
      <w:r>
        <w:rPr>
          <w:rFonts w:hint="eastAsia"/>
          <w:kern w:val="2"/>
        </w:rPr>
        <w:t>及招标监管机构：</w:t>
      </w:r>
    </w:p>
    <w:p w14:paraId="50A18DE7">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kern w:val="2"/>
        </w:rPr>
      </w:pPr>
      <w:r>
        <w:rPr>
          <w:rFonts w:hint="eastAsia"/>
          <w:kern w:val="2"/>
        </w:rPr>
        <w:t>本公司就参加</w:t>
      </w:r>
      <w:r>
        <w:rPr>
          <w:rFonts w:hint="eastAsia" w:ascii="仿宋_GB2312" w:eastAsia="仿宋_GB2312" w:cs="宋体"/>
          <w:szCs w:val="24"/>
          <w:u w:val="single"/>
        </w:rPr>
        <w:t>            </w:t>
      </w:r>
      <w:r>
        <w:rPr>
          <w:rFonts w:hint="eastAsia"/>
          <w:kern w:val="2"/>
        </w:rPr>
        <w:t>项目投标工作，作出郑重声明：</w:t>
      </w:r>
    </w:p>
    <w:p w14:paraId="34BC22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一、本公司保证投标登记材料及其后提供的一切材料都是真实的。如我司成为本项目中标候选人，我司同意并授权招标人将我司投标文件商务部分的人员、业绩、奖项等资料进行公开。</w:t>
      </w:r>
    </w:p>
    <w:p w14:paraId="0414629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bCs/>
          <w:kern w:val="0"/>
          <w:sz w:val="24"/>
          <w:szCs w:val="24"/>
        </w:rPr>
      </w:pPr>
      <w:r>
        <w:rPr>
          <w:rFonts w:hint="eastAsia" w:ascii="宋体" w:hAnsi="宋体" w:cs="宋体"/>
          <w:bCs/>
          <w:kern w:val="0"/>
          <w:sz w:val="24"/>
          <w:szCs w:val="24"/>
        </w:rPr>
        <w:t>二、本公司承诺遵循</w:t>
      </w:r>
      <w:r>
        <w:rPr>
          <w:rFonts w:ascii="宋体" w:hAnsi="宋体" w:cs="宋体"/>
          <w:bCs/>
          <w:kern w:val="0"/>
          <w:sz w:val="24"/>
          <w:szCs w:val="24"/>
        </w:rPr>
        <w:t>公平公正、公开、诚实信用原则，如实投标，真实反映企业实力，公平竞争，不弄虚作假，不</w:t>
      </w:r>
      <w:r>
        <w:rPr>
          <w:rFonts w:hint="eastAsia" w:ascii="宋体" w:hAnsi="宋体" w:cs="宋体"/>
          <w:bCs/>
          <w:kern w:val="0"/>
          <w:sz w:val="24"/>
          <w:szCs w:val="24"/>
        </w:rPr>
        <w:t>以</w:t>
      </w:r>
      <w:r>
        <w:rPr>
          <w:rFonts w:ascii="宋体" w:hAnsi="宋体" w:cs="宋体"/>
          <w:bCs/>
          <w:kern w:val="0"/>
          <w:sz w:val="24"/>
          <w:szCs w:val="24"/>
        </w:rPr>
        <w:t>低于监理企业成本价</w:t>
      </w:r>
      <w:r>
        <w:rPr>
          <w:rFonts w:hint="eastAsia" w:ascii="宋体" w:hAnsi="宋体" w:cs="宋体"/>
          <w:bCs/>
          <w:kern w:val="0"/>
          <w:sz w:val="24"/>
          <w:szCs w:val="24"/>
        </w:rPr>
        <w:t>竞标</w:t>
      </w:r>
      <w:r>
        <w:rPr>
          <w:rFonts w:ascii="宋体" w:hAnsi="宋体" w:cs="宋体"/>
          <w:bCs/>
          <w:kern w:val="0"/>
          <w:sz w:val="24"/>
          <w:szCs w:val="24"/>
        </w:rPr>
        <w:t>而降低监理服务质量，不</w:t>
      </w:r>
      <w:r>
        <w:rPr>
          <w:rFonts w:hint="eastAsia" w:ascii="宋体" w:hAnsi="宋体" w:cs="宋体"/>
          <w:bCs/>
          <w:kern w:val="0"/>
          <w:sz w:val="24"/>
          <w:szCs w:val="24"/>
        </w:rPr>
        <w:t>与</w:t>
      </w:r>
      <w:r>
        <w:rPr>
          <w:rFonts w:ascii="宋体" w:hAnsi="宋体" w:cs="宋体"/>
          <w:bCs/>
          <w:kern w:val="0"/>
          <w:sz w:val="24"/>
          <w:szCs w:val="24"/>
        </w:rPr>
        <w:t>任何建设单位订立违背监理企业成本取费标准及相关规定的“</w:t>
      </w:r>
      <w:r>
        <w:rPr>
          <w:rFonts w:hint="eastAsia" w:ascii="宋体" w:hAnsi="宋体" w:cs="宋体"/>
          <w:bCs/>
          <w:kern w:val="0"/>
          <w:sz w:val="24"/>
          <w:szCs w:val="24"/>
        </w:rPr>
        <w:t>阴阳合同</w:t>
      </w:r>
      <w:r>
        <w:rPr>
          <w:rFonts w:ascii="宋体" w:hAnsi="宋体" w:cs="宋体"/>
          <w:bCs/>
          <w:kern w:val="0"/>
          <w:sz w:val="24"/>
          <w:szCs w:val="24"/>
        </w:rPr>
        <w:t>”</w:t>
      </w:r>
      <w:r>
        <w:rPr>
          <w:rFonts w:hint="eastAsia" w:ascii="宋体" w:hAnsi="宋体" w:cs="宋体"/>
          <w:bCs/>
          <w:kern w:val="0"/>
          <w:sz w:val="24"/>
          <w:szCs w:val="24"/>
        </w:rPr>
        <w:t>进行恶性</w:t>
      </w:r>
      <w:r>
        <w:rPr>
          <w:rFonts w:ascii="宋体" w:hAnsi="宋体" w:cs="宋体"/>
          <w:bCs/>
          <w:kern w:val="0"/>
          <w:sz w:val="24"/>
          <w:szCs w:val="24"/>
        </w:rPr>
        <w:t>竞争，扰乱市场秩序</w:t>
      </w:r>
      <w:r>
        <w:rPr>
          <w:rFonts w:hint="eastAsia" w:ascii="宋体" w:hAnsi="宋体" w:cs="宋体"/>
          <w:bCs/>
          <w:kern w:val="0"/>
          <w:sz w:val="24"/>
          <w:szCs w:val="24"/>
        </w:rPr>
        <w:t>，不与其他单位串通投标</w:t>
      </w:r>
      <w:r>
        <w:rPr>
          <w:rFonts w:ascii="宋体" w:hAnsi="宋体" w:cs="宋体"/>
          <w:bCs/>
          <w:kern w:val="0"/>
          <w:sz w:val="24"/>
          <w:szCs w:val="24"/>
        </w:rPr>
        <w:t>或以</w:t>
      </w:r>
      <w:r>
        <w:rPr>
          <w:rFonts w:hint="eastAsia" w:ascii="宋体" w:hAnsi="宋体" w:cs="宋体"/>
          <w:bCs/>
          <w:kern w:val="0"/>
          <w:sz w:val="24"/>
          <w:szCs w:val="24"/>
        </w:rPr>
        <w:t>行贿手段</w:t>
      </w:r>
      <w:r>
        <w:rPr>
          <w:rFonts w:ascii="宋体" w:hAnsi="宋体" w:cs="宋体"/>
          <w:bCs/>
          <w:kern w:val="0"/>
          <w:sz w:val="24"/>
          <w:szCs w:val="24"/>
        </w:rPr>
        <w:t>谋取中标</w:t>
      </w:r>
      <w:r>
        <w:rPr>
          <w:rFonts w:hint="eastAsia" w:ascii="宋体" w:hAnsi="宋体" w:cs="宋体"/>
          <w:bCs/>
          <w:kern w:val="0"/>
          <w:sz w:val="24"/>
          <w:szCs w:val="24"/>
        </w:rPr>
        <w:t>，不出借资质</w:t>
      </w:r>
      <w:r>
        <w:rPr>
          <w:rFonts w:ascii="宋体" w:hAnsi="宋体" w:cs="宋体"/>
          <w:bCs/>
          <w:kern w:val="0"/>
          <w:sz w:val="24"/>
          <w:szCs w:val="24"/>
        </w:rPr>
        <w:t>、</w:t>
      </w:r>
      <w:r>
        <w:rPr>
          <w:rFonts w:hint="eastAsia" w:ascii="宋体" w:hAnsi="宋体" w:cs="宋体"/>
          <w:bCs/>
          <w:kern w:val="0"/>
          <w:sz w:val="24"/>
          <w:szCs w:val="24"/>
        </w:rPr>
        <w:t>转包或</w:t>
      </w:r>
      <w:r>
        <w:rPr>
          <w:rFonts w:ascii="宋体" w:hAnsi="宋体" w:cs="宋体"/>
          <w:bCs/>
          <w:kern w:val="0"/>
          <w:sz w:val="24"/>
          <w:szCs w:val="24"/>
        </w:rPr>
        <w:t>违法分包</w:t>
      </w:r>
      <w:r>
        <w:rPr>
          <w:rFonts w:hint="eastAsia" w:ascii="宋体" w:hAnsi="宋体" w:cs="宋体"/>
          <w:bCs/>
          <w:kern w:val="0"/>
          <w:sz w:val="24"/>
          <w:szCs w:val="24"/>
        </w:rPr>
        <w:t>监理</w:t>
      </w:r>
      <w:r>
        <w:rPr>
          <w:rFonts w:ascii="宋体" w:hAnsi="宋体" w:cs="宋体"/>
          <w:bCs/>
          <w:kern w:val="0"/>
          <w:sz w:val="24"/>
          <w:szCs w:val="24"/>
        </w:rPr>
        <w:t>业务</w:t>
      </w:r>
      <w:r>
        <w:rPr>
          <w:rFonts w:hint="eastAsia" w:ascii="宋体" w:hAnsi="宋体" w:cs="宋体"/>
          <w:bCs/>
          <w:kern w:val="0"/>
          <w:sz w:val="24"/>
          <w:szCs w:val="24"/>
        </w:rPr>
        <w:t>。</w:t>
      </w:r>
    </w:p>
    <w:p w14:paraId="05B45F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三、本公司不存在招标文件第二章投标人须知第1.4.3项所规定的任何一种情形。</w:t>
      </w:r>
    </w:p>
    <w:p w14:paraId="371F96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四、本公司及其有隶属关系的机构，没有参加本项目招标文件的编写工作；本公司与本次招标的招标代理机构没有隶属关系或其他利害关系。</w:t>
      </w:r>
    </w:p>
    <w:p w14:paraId="1F34504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五、</w:t>
      </w:r>
      <w:r>
        <w:rPr>
          <w:rFonts w:ascii="宋体" w:hAnsi="宋体" w:cs="宋体"/>
          <w:kern w:val="0"/>
          <w:sz w:val="24"/>
          <w:szCs w:val="24"/>
        </w:rPr>
        <w:t>本公司承诺，中标后严格执行安全生产相关管理规定。</w:t>
      </w:r>
    </w:p>
    <w:p w14:paraId="6A818BD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宋体"/>
          <w:kern w:val="0"/>
          <w:sz w:val="24"/>
          <w:szCs w:val="24"/>
        </w:rPr>
      </w:pPr>
      <w:r>
        <w:rPr>
          <w:rFonts w:hint="eastAsia" w:ascii="宋体" w:hAnsi="宋体" w:cs="宋体"/>
          <w:b/>
          <w:kern w:val="0"/>
          <w:sz w:val="24"/>
          <w:szCs w:val="24"/>
        </w:rPr>
        <w:t>六、与本公司单位负责人为同一人或者与本公司存在控股、管理关系的其他单位包括：</w:t>
      </w:r>
      <w:r>
        <w:rPr>
          <w:rFonts w:ascii="宋体" w:hAnsi="宋体" w:cs="宋体"/>
          <w:b/>
          <w:kern w:val="0"/>
          <w:sz w:val="24"/>
          <w:szCs w:val="24"/>
          <w:u w:val="single"/>
        </w:rPr>
        <w:t xml:space="preserve">     </w:t>
      </w:r>
      <w:r>
        <w:rPr>
          <w:rFonts w:hint="eastAsia" w:ascii="宋体" w:hAnsi="宋体" w:cs="宋体"/>
          <w:b/>
          <w:kern w:val="0"/>
          <w:sz w:val="24"/>
          <w:szCs w:val="24"/>
        </w:rPr>
        <w:t>。（注：本条由投标人如实填写，如有，应列出全部满足招标公告资质要求的相关单位的名称；如无，则填写</w:t>
      </w:r>
      <w:r>
        <w:rPr>
          <w:rFonts w:ascii="宋体" w:hAnsi="宋体" w:cs="宋体"/>
          <w:b/>
          <w:kern w:val="0"/>
          <w:sz w:val="24"/>
          <w:szCs w:val="24"/>
        </w:rPr>
        <w:t>“</w:t>
      </w:r>
      <w:r>
        <w:rPr>
          <w:rFonts w:hint="eastAsia" w:ascii="宋体" w:hAnsi="宋体" w:cs="宋体"/>
          <w:b/>
          <w:kern w:val="0"/>
          <w:sz w:val="24"/>
          <w:szCs w:val="24"/>
        </w:rPr>
        <w:t>无</w:t>
      </w:r>
      <w:r>
        <w:rPr>
          <w:rFonts w:ascii="宋体" w:hAnsi="宋体" w:cs="宋体"/>
          <w:b/>
          <w:kern w:val="0"/>
          <w:sz w:val="24"/>
          <w:szCs w:val="24"/>
        </w:rPr>
        <w:t>”</w:t>
      </w:r>
      <w:r>
        <w:rPr>
          <w:rFonts w:hint="eastAsia" w:ascii="宋体" w:hAnsi="宋体" w:cs="宋体"/>
          <w:b/>
          <w:kern w:val="0"/>
          <w:sz w:val="24"/>
          <w:szCs w:val="24"/>
        </w:rPr>
        <w:t>。）</w:t>
      </w:r>
    </w:p>
    <w:p w14:paraId="0E2BBC1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本公司违反上述承诺，或本声明陈述与事实不符，经查实，本公司愿意接受公开通报，承担由此带来的一切后果，并自愿停止参加广州市行政辖区内的招标投标活动三个月。</w:t>
      </w:r>
    </w:p>
    <w:p w14:paraId="1BAAA379">
      <w:pPr>
        <w:pStyle w:val="24"/>
        <w:ind w:firstLine="480"/>
        <w:rPr>
          <w:kern w:val="2"/>
        </w:rPr>
      </w:pPr>
    </w:p>
    <w:p w14:paraId="5F49AD70">
      <w:pPr>
        <w:snapToGrid w:val="0"/>
        <w:spacing w:line="440" w:lineRule="exact"/>
        <w:ind w:firstLine="4320" w:firstLineChars="1800"/>
        <w:rPr>
          <w:rFonts w:ascii="宋体" w:hAnsi="宋体" w:cs="宋体"/>
          <w:kern w:val="0"/>
          <w:sz w:val="24"/>
          <w:szCs w:val="24"/>
        </w:rPr>
      </w:pPr>
      <w:r>
        <w:rPr>
          <w:rFonts w:hint="eastAsia" w:ascii="宋体" w:hAnsi="宋体" w:cs="宋体"/>
          <w:kern w:val="0"/>
          <w:sz w:val="24"/>
          <w:szCs w:val="24"/>
        </w:rPr>
        <w:t>声明企业：            (企业公章)</w:t>
      </w:r>
    </w:p>
    <w:p w14:paraId="74E5506E">
      <w:pPr>
        <w:snapToGrid w:val="0"/>
        <w:spacing w:line="440" w:lineRule="exact"/>
        <w:ind w:firstLine="4320" w:firstLineChars="1800"/>
        <w:rPr>
          <w:rFonts w:ascii="宋体" w:hAnsi="宋体" w:cs="宋体"/>
          <w:kern w:val="0"/>
          <w:sz w:val="24"/>
          <w:szCs w:val="24"/>
        </w:rPr>
      </w:pPr>
      <w:r>
        <w:rPr>
          <w:rFonts w:hint="eastAsia" w:ascii="宋体" w:hAnsi="宋体" w:cs="宋体"/>
          <w:kern w:val="0"/>
          <w:sz w:val="24"/>
          <w:szCs w:val="24"/>
        </w:rPr>
        <w:t>总监理工程师：         （签字）</w:t>
      </w:r>
    </w:p>
    <w:p w14:paraId="773D608A">
      <w:pPr>
        <w:snapToGrid w:val="0"/>
        <w:spacing w:line="440" w:lineRule="exact"/>
        <w:ind w:firstLine="4320" w:firstLineChars="1800"/>
        <w:rPr>
          <w:rFonts w:ascii="宋体" w:hAnsi="宋体" w:cs="宋体"/>
          <w:kern w:val="0"/>
          <w:sz w:val="24"/>
          <w:szCs w:val="24"/>
        </w:rPr>
      </w:pPr>
      <w:r>
        <w:rPr>
          <w:rFonts w:hint="eastAsia" w:ascii="宋体" w:hAnsi="宋体" w:cs="宋体"/>
          <w:kern w:val="0"/>
          <w:sz w:val="24"/>
          <w:szCs w:val="24"/>
        </w:rPr>
        <w:t>法定代表人签字：</w:t>
      </w:r>
    </w:p>
    <w:p w14:paraId="2ABE52F9">
      <w:pPr>
        <w:snapToGrid w:val="0"/>
        <w:spacing w:line="440" w:lineRule="exact"/>
        <w:ind w:firstLine="4252" w:firstLineChars="1772"/>
        <w:jc w:val="center"/>
        <w:rPr>
          <w:rFonts w:ascii="宋体" w:hAnsi="宋体"/>
        </w:rPr>
      </w:pPr>
      <w:r>
        <w:rPr>
          <w:rFonts w:hint="eastAsia" w:ascii="宋体" w:hAnsi="宋体" w:cs="宋体"/>
          <w:kern w:val="0"/>
          <w:sz w:val="24"/>
          <w:szCs w:val="24"/>
        </w:rPr>
        <w:t xml:space="preserve">     年   月   日</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04280"/>
      <w:docPartObj>
        <w:docPartGallery w:val="autotext"/>
      </w:docPartObj>
    </w:sdtPr>
    <w:sdtContent>
      <w:p w14:paraId="59606B95">
        <w:pPr>
          <w:pStyle w:val="10"/>
          <w:jc w:val="center"/>
        </w:pPr>
        <w:r>
          <w:fldChar w:fldCharType="begin"/>
        </w:r>
        <w:r>
          <w:instrText xml:space="preserve"> PAGE   \* MERGEFORMAT </w:instrText>
        </w:r>
        <w:r>
          <w:fldChar w:fldCharType="separate"/>
        </w:r>
        <w:r>
          <w:rPr>
            <w:lang w:val="zh-CN"/>
          </w:rPr>
          <w:t>5</w:t>
        </w:r>
        <w:r>
          <w:rPr>
            <w:lang w:val="zh-CN"/>
          </w:rPr>
          <w:fldChar w:fldCharType="end"/>
        </w:r>
      </w:p>
    </w:sdtContent>
  </w:sdt>
  <w:p w14:paraId="743AED6D">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MzY2MWQwOGZkMThiODQ2NTBiOTk1YWFlNDg4MmUifQ=="/>
  </w:docVars>
  <w:rsids>
    <w:rsidRoot w:val="00AF3299"/>
    <w:rsid w:val="000032F7"/>
    <w:rsid w:val="00031C41"/>
    <w:rsid w:val="00033EC1"/>
    <w:rsid w:val="00037FDA"/>
    <w:rsid w:val="00050D58"/>
    <w:rsid w:val="00053A7E"/>
    <w:rsid w:val="00085824"/>
    <w:rsid w:val="00095752"/>
    <w:rsid w:val="000A5C69"/>
    <w:rsid w:val="000B2335"/>
    <w:rsid w:val="000B2A38"/>
    <w:rsid w:val="000F286A"/>
    <w:rsid w:val="00122141"/>
    <w:rsid w:val="001254EF"/>
    <w:rsid w:val="0015205C"/>
    <w:rsid w:val="00155960"/>
    <w:rsid w:val="00157892"/>
    <w:rsid w:val="001A06EB"/>
    <w:rsid w:val="001A4EBE"/>
    <w:rsid w:val="001B4BC4"/>
    <w:rsid w:val="001B7172"/>
    <w:rsid w:val="001C1C26"/>
    <w:rsid w:val="001E0AF6"/>
    <w:rsid w:val="001F0ED7"/>
    <w:rsid w:val="001F434F"/>
    <w:rsid w:val="00205DC6"/>
    <w:rsid w:val="00206D0B"/>
    <w:rsid w:val="00214C82"/>
    <w:rsid w:val="00236EBF"/>
    <w:rsid w:val="00252A76"/>
    <w:rsid w:val="00260692"/>
    <w:rsid w:val="00267EF3"/>
    <w:rsid w:val="00274463"/>
    <w:rsid w:val="002D2456"/>
    <w:rsid w:val="0032639C"/>
    <w:rsid w:val="00334221"/>
    <w:rsid w:val="00342A39"/>
    <w:rsid w:val="00364214"/>
    <w:rsid w:val="003826DA"/>
    <w:rsid w:val="003B135C"/>
    <w:rsid w:val="003D1B92"/>
    <w:rsid w:val="003F316A"/>
    <w:rsid w:val="00441419"/>
    <w:rsid w:val="00455F61"/>
    <w:rsid w:val="00456D41"/>
    <w:rsid w:val="004761F0"/>
    <w:rsid w:val="004A2066"/>
    <w:rsid w:val="004A4443"/>
    <w:rsid w:val="004C4C0F"/>
    <w:rsid w:val="004C612B"/>
    <w:rsid w:val="004D0B0B"/>
    <w:rsid w:val="004D38E8"/>
    <w:rsid w:val="004E33DC"/>
    <w:rsid w:val="004E3BD9"/>
    <w:rsid w:val="004F10BE"/>
    <w:rsid w:val="004F63D5"/>
    <w:rsid w:val="00514E23"/>
    <w:rsid w:val="00525292"/>
    <w:rsid w:val="00526C9C"/>
    <w:rsid w:val="005444CD"/>
    <w:rsid w:val="00547193"/>
    <w:rsid w:val="0057070C"/>
    <w:rsid w:val="005A179D"/>
    <w:rsid w:val="005C6610"/>
    <w:rsid w:val="005D01BF"/>
    <w:rsid w:val="00616BF2"/>
    <w:rsid w:val="00634A99"/>
    <w:rsid w:val="006B2A1E"/>
    <w:rsid w:val="006D7E75"/>
    <w:rsid w:val="00714E2B"/>
    <w:rsid w:val="00755512"/>
    <w:rsid w:val="007750AA"/>
    <w:rsid w:val="00777BE9"/>
    <w:rsid w:val="007B0AA1"/>
    <w:rsid w:val="007B328E"/>
    <w:rsid w:val="007E01D9"/>
    <w:rsid w:val="007E1BAC"/>
    <w:rsid w:val="00820293"/>
    <w:rsid w:val="00837845"/>
    <w:rsid w:val="0084139B"/>
    <w:rsid w:val="00861AF8"/>
    <w:rsid w:val="008E5B39"/>
    <w:rsid w:val="008E6185"/>
    <w:rsid w:val="008F08F2"/>
    <w:rsid w:val="0090284E"/>
    <w:rsid w:val="0093742B"/>
    <w:rsid w:val="00937F1D"/>
    <w:rsid w:val="00946451"/>
    <w:rsid w:val="00955FC6"/>
    <w:rsid w:val="0096505A"/>
    <w:rsid w:val="0097249C"/>
    <w:rsid w:val="00981453"/>
    <w:rsid w:val="00997A54"/>
    <w:rsid w:val="009A3CFD"/>
    <w:rsid w:val="009B0134"/>
    <w:rsid w:val="009B186B"/>
    <w:rsid w:val="009C6DD1"/>
    <w:rsid w:val="009D1391"/>
    <w:rsid w:val="009E6702"/>
    <w:rsid w:val="00A14E64"/>
    <w:rsid w:val="00A44DDB"/>
    <w:rsid w:val="00A775C0"/>
    <w:rsid w:val="00AE222B"/>
    <w:rsid w:val="00AE47BE"/>
    <w:rsid w:val="00AE5C14"/>
    <w:rsid w:val="00AF3299"/>
    <w:rsid w:val="00B04AB2"/>
    <w:rsid w:val="00B1580E"/>
    <w:rsid w:val="00B26E38"/>
    <w:rsid w:val="00B3638E"/>
    <w:rsid w:val="00B81D31"/>
    <w:rsid w:val="00B91E0D"/>
    <w:rsid w:val="00BB52C5"/>
    <w:rsid w:val="00C137EF"/>
    <w:rsid w:val="00C22B68"/>
    <w:rsid w:val="00C31A7C"/>
    <w:rsid w:val="00C34605"/>
    <w:rsid w:val="00C4224F"/>
    <w:rsid w:val="00C44B1B"/>
    <w:rsid w:val="00C47C7D"/>
    <w:rsid w:val="00CA4C17"/>
    <w:rsid w:val="00CB327E"/>
    <w:rsid w:val="00D33788"/>
    <w:rsid w:val="00D4104D"/>
    <w:rsid w:val="00D73715"/>
    <w:rsid w:val="00D833AB"/>
    <w:rsid w:val="00DA0AEA"/>
    <w:rsid w:val="00DB19DE"/>
    <w:rsid w:val="00DD2367"/>
    <w:rsid w:val="00E07607"/>
    <w:rsid w:val="00E1490C"/>
    <w:rsid w:val="00E218F3"/>
    <w:rsid w:val="00E462C0"/>
    <w:rsid w:val="00E745C2"/>
    <w:rsid w:val="00E9644D"/>
    <w:rsid w:val="00EB0AFD"/>
    <w:rsid w:val="00EC6051"/>
    <w:rsid w:val="00ED2D4C"/>
    <w:rsid w:val="00F04A7C"/>
    <w:rsid w:val="00F316DA"/>
    <w:rsid w:val="00F8589C"/>
    <w:rsid w:val="00F8601D"/>
    <w:rsid w:val="00F87CD5"/>
    <w:rsid w:val="00F87FE2"/>
    <w:rsid w:val="00FA7392"/>
    <w:rsid w:val="00FB115F"/>
    <w:rsid w:val="00FD1619"/>
    <w:rsid w:val="018F56F9"/>
    <w:rsid w:val="033A57DA"/>
    <w:rsid w:val="03546A47"/>
    <w:rsid w:val="063F6C84"/>
    <w:rsid w:val="08597509"/>
    <w:rsid w:val="09FE558D"/>
    <w:rsid w:val="0AF17687"/>
    <w:rsid w:val="0C661ADA"/>
    <w:rsid w:val="0DD3411B"/>
    <w:rsid w:val="0E3B4A0D"/>
    <w:rsid w:val="11DC0CA3"/>
    <w:rsid w:val="15BA6327"/>
    <w:rsid w:val="17701BB9"/>
    <w:rsid w:val="188B297D"/>
    <w:rsid w:val="19E17E74"/>
    <w:rsid w:val="1D7758B3"/>
    <w:rsid w:val="1DA63635"/>
    <w:rsid w:val="22C945C3"/>
    <w:rsid w:val="23AB7BCC"/>
    <w:rsid w:val="2A6C04C8"/>
    <w:rsid w:val="2A8D1400"/>
    <w:rsid w:val="2CA33EAB"/>
    <w:rsid w:val="2EAD65D1"/>
    <w:rsid w:val="2F8E38A0"/>
    <w:rsid w:val="315037F6"/>
    <w:rsid w:val="35964F6E"/>
    <w:rsid w:val="35AB714C"/>
    <w:rsid w:val="368E4F3A"/>
    <w:rsid w:val="382B2EE9"/>
    <w:rsid w:val="3E6C6689"/>
    <w:rsid w:val="3F745750"/>
    <w:rsid w:val="3FD86D6B"/>
    <w:rsid w:val="41FB36DF"/>
    <w:rsid w:val="44FD456D"/>
    <w:rsid w:val="452D591E"/>
    <w:rsid w:val="465D456C"/>
    <w:rsid w:val="46987585"/>
    <w:rsid w:val="47451645"/>
    <w:rsid w:val="490177EE"/>
    <w:rsid w:val="4A6309F6"/>
    <w:rsid w:val="4A7D45EF"/>
    <w:rsid w:val="50426779"/>
    <w:rsid w:val="52347910"/>
    <w:rsid w:val="52F67F77"/>
    <w:rsid w:val="55D82907"/>
    <w:rsid w:val="563750AF"/>
    <w:rsid w:val="56BE0ACC"/>
    <w:rsid w:val="56E85BCB"/>
    <w:rsid w:val="5C0759F2"/>
    <w:rsid w:val="5C3E402C"/>
    <w:rsid w:val="5C640EB1"/>
    <w:rsid w:val="5E95060C"/>
    <w:rsid w:val="5EDF08B6"/>
    <w:rsid w:val="61DA4D7F"/>
    <w:rsid w:val="61DA7C5E"/>
    <w:rsid w:val="651661FE"/>
    <w:rsid w:val="65287A2D"/>
    <w:rsid w:val="66900E7F"/>
    <w:rsid w:val="6CAE19EB"/>
    <w:rsid w:val="6D9305FC"/>
    <w:rsid w:val="6E031C5C"/>
    <w:rsid w:val="6E1F1826"/>
    <w:rsid w:val="6E942F90"/>
    <w:rsid w:val="737B3038"/>
    <w:rsid w:val="75275343"/>
    <w:rsid w:val="78E26641"/>
    <w:rsid w:val="7CEB12F2"/>
    <w:rsid w:val="7F980F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line="408" w:lineRule="auto"/>
      <w:outlineLvl w:val="1"/>
    </w:pPr>
    <w:rPr>
      <w:rFonts w:ascii="Arial" w:hAnsi="Arial" w:eastAsia="黑体"/>
      <w:b/>
      <w:bCs/>
      <w:kern w:val="0"/>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4">
    <w:name w:val="Document Map"/>
    <w:basedOn w:val="1"/>
    <w:link w:val="27"/>
    <w:qFormat/>
    <w:uiPriority w:val="0"/>
    <w:pPr>
      <w:shd w:val="clear" w:color="auto" w:fill="000080"/>
    </w:pPr>
    <w:rPr>
      <w:szCs w:val="24"/>
    </w:rPr>
  </w:style>
  <w:style w:type="paragraph" w:styleId="5">
    <w:name w:val="annotation text"/>
    <w:basedOn w:val="1"/>
    <w:link w:val="28"/>
    <w:unhideWhenUsed/>
    <w:qFormat/>
    <w:uiPriority w:val="0"/>
    <w:pPr>
      <w:jc w:val="left"/>
    </w:pPr>
    <w:rPr>
      <w:rFonts w:ascii="等线" w:hAnsi="等线" w:eastAsia="等线"/>
      <w:szCs w:val="24"/>
    </w:rPr>
  </w:style>
  <w:style w:type="paragraph" w:styleId="6">
    <w:name w:val="Body Text"/>
    <w:basedOn w:val="1"/>
    <w:unhideWhenUsed/>
    <w:qFormat/>
    <w:uiPriority w:val="99"/>
    <w:pPr>
      <w:spacing w:before="100" w:beforeAutospacing="1"/>
    </w:pPr>
    <w:rPr>
      <w:kern w:val="0"/>
      <w:sz w:val="20"/>
    </w:rPr>
  </w:style>
  <w:style w:type="paragraph" w:styleId="7">
    <w:name w:val="Body Text Indent"/>
    <w:basedOn w:val="1"/>
    <w:link w:val="35"/>
    <w:qFormat/>
    <w:uiPriority w:val="0"/>
    <w:pPr>
      <w:spacing w:after="120"/>
      <w:ind w:left="420" w:leftChars="200"/>
    </w:pPr>
  </w:style>
  <w:style w:type="paragraph" w:styleId="8">
    <w:name w:val="Plain Text"/>
    <w:basedOn w:val="1"/>
    <w:next w:val="1"/>
    <w:link w:val="34"/>
    <w:qFormat/>
    <w:uiPriority w:val="0"/>
    <w:rPr>
      <w:rFonts w:ascii="宋体" w:hAnsi="Courier New"/>
      <w:szCs w:val="20"/>
      <w:lang w:eastAsia="en-US"/>
    </w:rPr>
  </w:style>
  <w:style w:type="paragraph" w:styleId="9">
    <w:name w:val="Balloon Text"/>
    <w:basedOn w:val="1"/>
    <w:link w:val="31"/>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envelope return"/>
    <w:basedOn w:val="1"/>
    <w:qFormat/>
    <w:uiPriority w:val="99"/>
    <w:pPr>
      <w:snapToGrid w:val="0"/>
    </w:pPr>
    <w:rPr>
      <w:rFonts w:ascii="Arial" w:hAnsi="Arial" w:cs="Arial"/>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3">
    <w:name w:val="annotation subject"/>
    <w:basedOn w:val="5"/>
    <w:next w:val="5"/>
    <w:link w:val="30"/>
    <w:qFormat/>
    <w:uiPriority w:val="0"/>
    <w:rPr>
      <w:rFonts w:ascii="Times New Roman" w:hAnsi="Times New Roman" w:eastAsia="宋体"/>
      <w:b/>
      <w:bCs/>
      <w:szCs w:val="21"/>
    </w:rPr>
  </w:style>
  <w:style w:type="paragraph" w:styleId="14">
    <w:name w:val="Body Text First Indent"/>
    <w:basedOn w:val="6"/>
    <w:qFormat/>
    <w:uiPriority w:val="0"/>
    <w:pPr>
      <w:widowControl w:val="0"/>
      <w:spacing w:line="240" w:lineRule="auto"/>
      <w:ind w:firstLine="420"/>
      <w:jc w:val="both"/>
    </w:pPr>
    <w:rPr>
      <w:rFonts w:eastAsia="宋体" w:cs="Times New Roman"/>
      <w:color w:val="auto"/>
      <w:kern w:val="0"/>
      <w:sz w:val="20"/>
      <w:szCs w:val="20"/>
    </w:rPr>
  </w:style>
  <w:style w:type="paragraph" w:styleId="15">
    <w:name w:val="Body Text First Indent 2"/>
    <w:basedOn w:val="7"/>
    <w:link w:val="36"/>
    <w:qFormat/>
    <w:uiPriority w:val="0"/>
    <w:pPr>
      <w:ind w:firstLine="420" w:firstLineChars="200"/>
    </w:pPr>
  </w:style>
  <w:style w:type="character" w:styleId="18">
    <w:name w:val="page number"/>
    <w:qFormat/>
    <w:uiPriority w:val="0"/>
  </w:style>
  <w:style w:type="character" w:styleId="19">
    <w:name w:val="Hyperlink"/>
    <w:unhideWhenUsed/>
    <w:qFormat/>
    <w:uiPriority w:val="99"/>
    <w:rPr>
      <w:color w:val="0000FF"/>
      <w:u w:val="single"/>
    </w:rPr>
  </w:style>
  <w:style w:type="character" w:styleId="20">
    <w:name w:val="annotation reference"/>
    <w:basedOn w:val="17"/>
    <w:qFormat/>
    <w:uiPriority w:val="0"/>
    <w:rPr>
      <w:sz w:val="21"/>
      <w:szCs w:val="21"/>
    </w:rPr>
  </w:style>
  <w:style w:type="paragraph" w:customStyle="1" w:styleId="21">
    <w:name w:val="样式 宋体 行距: 1.5 倍行距"/>
    <w:basedOn w:val="22"/>
    <w:next w:val="1"/>
    <w:qFormat/>
    <w:uiPriority w:val="0"/>
    <w:pPr>
      <w:jc w:val="center"/>
    </w:pPr>
    <w:rPr>
      <w:rFonts w:ascii="Times New Roman" w:hAnsi="Times New Roman"/>
      <w:b/>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1"/>
    <w:qFormat/>
    <w:uiPriority w:val="0"/>
    <w:pPr>
      <w:widowControl w:val="0"/>
      <w:jc w:val="both"/>
    </w:pPr>
    <w:rPr>
      <w:rFonts w:ascii="Calibri" w:hAnsi="Calibri" w:eastAsia="宋体" w:cs="黑体"/>
      <w:kern w:val="2"/>
      <w:sz w:val="21"/>
      <w:szCs w:val="24"/>
      <w:lang w:val="en-US" w:eastAsia="zh-CN" w:bidi="ar-SA"/>
    </w:rPr>
  </w:style>
  <w:style w:type="paragraph" w:customStyle="1" w:styleId="23">
    <w:name w:val="公告标题"/>
    <w:basedOn w:val="6"/>
    <w:qFormat/>
    <w:uiPriority w:val="0"/>
    <w:pPr>
      <w:kinsoku w:val="0"/>
      <w:overflowPunct w:val="0"/>
      <w:adjustRightInd w:val="0"/>
      <w:snapToGrid w:val="0"/>
      <w:spacing w:beforeLines="50" w:beforeAutospacing="0" w:line="440" w:lineRule="exact"/>
      <w:ind w:firstLine="200" w:firstLineChars="200"/>
      <w:outlineLvl w:val="2"/>
    </w:pPr>
    <w:rPr>
      <w:rFonts w:ascii="宋体" w:hAnsi="宋体"/>
      <w:b/>
      <w:bCs/>
      <w:sz w:val="32"/>
      <w:szCs w:val="32"/>
    </w:rPr>
  </w:style>
  <w:style w:type="paragraph" w:customStyle="1" w:styleId="24">
    <w:name w:val="公告段落"/>
    <w:basedOn w:val="6"/>
    <w:qFormat/>
    <w:uiPriority w:val="0"/>
    <w:pPr>
      <w:tabs>
        <w:tab w:val="left" w:pos="1343"/>
        <w:tab w:val="left" w:pos="2697"/>
        <w:tab w:val="left" w:pos="3264"/>
        <w:tab w:val="left" w:pos="4896"/>
        <w:tab w:val="left" w:pos="6005"/>
        <w:tab w:val="left" w:pos="7085"/>
        <w:tab w:val="left" w:pos="7498"/>
      </w:tabs>
      <w:snapToGrid w:val="0"/>
      <w:spacing w:before="0" w:beforeAutospacing="0" w:line="440" w:lineRule="exact"/>
      <w:ind w:firstLine="200" w:firstLineChars="200"/>
    </w:pPr>
    <w:rPr>
      <w:rFonts w:ascii="宋体" w:hAnsi="宋体"/>
      <w:sz w:val="24"/>
    </w:rPr>
  </w:style>
  <w:style w:type="character" w:customStyle="1" w:styleId="25">
    <w:name w:val="页眉 Char"/>
    <w:basedOn w:val="17"/>
    <w:link w:val="12"/>
    <w:qFormat/>
    <w:uiPriority w:val="0"/>
    <w:rPr>
      <w:rFonts w:ascii="Times New Roman" w:hAnsi="Times New Roman" w:eastAsia="宋体" w:cs="Times New Roman"/>
      <w:kern w:val="2"/>
      <w:sz w:val="18"/>
      <w:szCs w:val="18"/>
    </w:rPr>
  </w:style>
  <w:style w:type="character" w:customStyle="1" w:styleId="26">
    <w:name w:val="页脚 Char"/>
    <w:basedOn w:val="17"/>
    <w:link w:val="10"/>
    <w:qFormat/>
    <w:uiPriority w:val="99"/>
    <w:rPr>
      <w:rFonts w:ascii="Times New Roman" w:hAnsi="Times New Roman" w:eastAsia="宋体" w:cs="Times New Roman"/>
      <w:kern w:val="2"/>
      <w:sz w:val="18"/>
      <w:szCs w:val="18"/>
    </w:rPr>
  </w:style>
  <w:style w:type="character" w:customStyle="1" w:styleId="27">
    <w:name w:val="文档结构图 Char"/>
    <w:basedOn w:val="17"/>
    <w:link w:val="4"/>
    <w:qFormat/>
    <w:uiPriority w:val="0"/>
    <w:rPr>
      <w:rFonts w:ascii="Times New Roman" w:hAnsi="Times New Roman" w:eastAsia="宋体" w:cs="Times New Roman"/>
      <w:kern w:val="2"/>
      <w:sz w:val="21"/>
      <w:szCs w:val="24"/>
      <w:shd w:val="clear" w:color="auto" w:fill="000080"/>
    </w:rPr>
  </w:style>
  <w:style w:type="character" w:customStyle="1" w:styleId="28">
    <w:name w:val="批注文字 Char"/>
    <w:basedOn w:val="17"/>
    <w:link w:val="5"/>
    <w:qFormat/>
    <w:uiPriority w:val="0"/>
    <w:rPr>
      <w:rFonts w:ascii="等线" w:hAnsi="等线" w:eastAsia="等线" w:cs="Times New Roman"/>
      <w:kern w:val="2"/>
      <w:sz w:val="21"/>
      <w:szCs w:val="24"/>
    </w:rPr>
  </w:style>
  <w:style w:type="character" w:customStyle="1" w:styleId="29">
    <w:name w:val="16"/>
    <w:qFormat/>
    <w:uiPriority w:val="0"/>
    <w:rPr>
      <w:rFonts w:hint="default" w:ascii="Times New Roman" w:hAnsi="Times New Roman" w:cs="Times New Roman"/>
      <w:i/>
      <w:iCs/>
    </w:rPr>
  </w:style>
  <w:style w:type="character" w:customStyle="1" w:styleId="30">
    <w:name w:val="批注主题 Char"/>
    <w:basedOn w:val="28"/>
    <w:link w:val="13"/>
    <w:qFormat/>
    <w:uiPriority w:val="0"/>
    <w:rPr>
      <w:rFonts w:ascii="Times New Roman" w:hAnsi="Times New Roman" w:eastAsia="宋体" w:cs="Times New Roman"/>
      <w:b/>
      <w:bCs/>
      <w:kern w:val="2"/>
      <w:sz w:val="21"/>
      <w:szCs w:val="21"/>
    </w:rPr>
  </w:style>
  <w:style w:type="character" w:customStyle="1" w:styleId="31">
    <w:name w:val="批注框文本 Char"/>
    <w:basedOn w:val="17"/>
    <w:link w:val="9"/>
    <w:qFormat/>
    <w:uiPriority w:val="0"/>
    <w:rPr>
      <w:rFonts w:ascii="Times New Roman" w:hAnsi="Times New Roman" w:eastAsia="宋体" w:cs="Times New Roman"/>
      <w:kern w:val="2"/>
      <w:sz w:val="18"/>
      <w:szCs w:val="18"/>
    </w:rPr>
  </w:style>
  <w:style w:type="paragraph" w:customStyle="1" w:styleId="32">
    <w:name w:val="公文正文"/>
    <w:basedOn w:val="1"/>
    <w:qFormat/>
    <w:uiPriority w:val="0"/>
    <w:pPr>
      <w:spacing w:line="360" w:lineRule="auto"/>
      <w:ind w:firstLine="629"/>
    </w:pPr>
    <w:rPr>
      <w:rFonts w:hint="eastAsia" w:ascii="仿宋_GB2312" w:hAnsi="Calisto MT" w:eastAsia="仿宋_GB2312"/>
      <w:color w:val="000000"/>
      <w:kern w:val="0"/>
      <w:sz w:val="32"/>
      <w:szCs w:val="20"/>
    </w:rPr>
  </w:style>
  <w:style w:type="character" w:customStyle="1" w:styleId="33">
    <w:name w:val="标题 2 Char"/>
    <w:basedOn w:val="17"/>
    <w:semiHidden/>
    <w:qFormat/>
    <w:uiPriority w:val="9"/>
    <w:rPr>
      <w:rFonts w:asciiTheme="majorHAnsi" w:hAnsiTheme="majorHAnsi" w:eastAsiaTheme="majorEastAsia" w:cstheme="majorBidi"/>
      <w:b/>
      <w:bCs/>
      <w:color w:val="000000"/>
      <w:sz w:val="32"/>
      <w:szCs w:val="32"/>
    </w:rPr>
  </w:style>
  <w:style w:type="character" w:customStyle="1" w:styleId="34">
    <w:name w:val="纯文本 Char"/>
    <w:basedOn w:val="17"/>
    <w:link w:val="8"/>
    <w:qFormat/>
    <w:uiPriority w:val="0"/>
    <w:rPr>
      <w:rFonts w:ascii="宋体" w:hAnsi="Courier New" w:eastAsia="宋体" w:cs="Times New Roman"/>
      <w:kern w:val="2"/>
      <w:sz w:val="21"/>
      <w:lang w:eastAsia="en-US"/>
    </w:rPr>
  </w:style>
  <w:style w:type="character" w:customStyle="1" w:styleId="35">
    <w:name w:val="正文文本缩进 Char"/>
    <w:basedOn w:val="17"/>
    <w:link w:val="7"/>
    <w:qFormat/>
    <w:uiPriority w:val="0"/>
    <w:rPr>
      <w:rFonts w:ascii="Times New Roman" w:hAnsi="Times New Roman" w:eastAsia="宋体" w:cs="Times New Roman"/>
      <w:kern w:val="2"/>
      <w:sz w:val="21"/>
      <w:szCs w:val="21"/>
    </w:rPr>
  </w:style>
  <w:style w:type="character" w:customStyle="1" w:styleId="36">
    <w:name w:val="正文首行缩进 2 Char"/>
    <w:basedOn w:val="35"/>
    <w:link w:val="15"/>
    <w:qFormat/>
    <w:uiPriority w:val="0"/>
    <w:rPr>
      <w:rFonts w:ascii="Times New Roman" w:hAnsi="Times New Roman" w:eastAsia="宋体" w:cs="Times New Roman"/>
      <w:kern w:val="2"/>
      <w:sz w:val="21"/>
      <w:szCs w:val="21"/>
    </w:rPr>
  </w:style>
  <w:style w:type="character" w:customStyle="1" w:styleId="37">
    <w:name w:val="Unresolved Mention"/>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8</Pages>
  <Words>4872</Words>
  <Characters>5291</Characters>
  <Lines>49</Lines>
  <Paragraphs>13</Paragraphs>
  <TotalTime>17</TotalTime>
  <ScaleCrop>false</ScaleCrop>
  <LinksUpToDate>false</LinksUpToDate>
  <CharactersWithSpaces>5505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2022-09-06T08:24:00Z</dcterms:created>
  <dc:creator>fdghdf</dc:creator>
  <cp:lastModifiedBy>豆豆</cp:lastModifiedBy>
  <cp:lastPrinted>2023-02-21T06:35:00Z</cp:lastPrinted>
  <dcterms:modified xsi:type="dcterms:W3CDTF">2025-05-20T06:42:26Z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06FE2383C4304162B48CD7C868EB919D_13</vt:lpwstr>
  </property>
  <property fmtid="{D5CDD505-2E9C-101B-9397-08002B2CF9AE}" pid="4" name="KSOTemplateDocerSaveRecord">
    <vt:lpwstr>eyJoZGlkIjoiZDJiMzY2MWQwOGZkMThiODQ2NTBiOTk1YWFlNDg4MmUiLCJ1c2VySWQiOiI2MjIxNzg1OTIifQ==</vt:lpwstr>
  </property>
</Properties>
</file>